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F2BA7F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81B24C7" w:rsidR="00E66558" w:rsidRDefault="009D71E8">
      <w:pPr>
        <w:pStyle w:val="Heading2"/>
        <w:rPr>
          <w:b w:val="0"/>
          <w:bCs/>
          <w:color w:val="auto"/>
          <w:sz w:val="24"/>
          <w:szCs w:val="24"/>
        </w:rPr>
      </w:pPr>
      <w:r>
        <w:rPr>
          <w:b w:val="0"/>
          <w:bCs/>
          <w:color w:val="auto"/>
          <w:sz w:val="24"/>
          <w:szCs w:val="24"/>
        </w:rPr>
        <w:t xml:space="preserve">This statement details our school’s use of pupil funding to help improve the attainment of our disadvantaged pupils. </w:t>
      </w:r>
    </w:p>
    <w:p w14:paraId="2A7D54B3" w14:textId="1C9C1003"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bookmarkStart w:id="14" w:name="_GoBack"/>
      <w:bookmarkEnd w:id="14"/>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8A4B152" w:rsidR="00E66558" w:rsidRPr="00E31F5B" w:rsidRDefault="00A64B62">
            <w:pPr>
              <w:pStyle w:val="TableRow"/>
              <w:rPr>
                <w:color w:val="FF0000"/>
              </w:rPr>
            </w:pPr>
            <w:r w:rsidRPr="0099018C">
              <w:rPr>
                <w:color w:val="auto"/>
              </w:rPr>
              <w:t>St Mary’s CE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9CC0995" w:rsidR="00E66558" w:rsidRPr="0099018C" w:rsidRDefault="00F73237">
            <w:pPr>
              <w:pStyle w:val="TableRow"/>
              <w:rPr>
                <w:color w:val="auto"/>
              </w:rPr>
            </w:pPr>
            <w:r w:rsidRPr="0099018C">
              <w:rPr>
                <w:color w:val="auto"/>
              </w:rPr>
              <w:t>195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AAD0359" w:rsidR="00E66558" w:rsidRPr="0099018C" w:rsidRDefault="00A64B62" w:rsidP="008F68F0">
            <w:pPr>
              <w:pStyle w:val="TableRow"/>
              <w:rPr>
                <w:color w:val="auto"/>
              </w:rPr>
            </w:pPr>
            <w:r w:rsidRPr="0099018C">
              <w:rPr>
                <w:color w:val="auto"/>
              </w:rPr>
              <w:t>1</w:t>
            </w:r>
            <w:r w:rsidR="00F73237" w:rsidRPr="0099018C">
              <w:rPr>
                <w:color w:val="auto"/>
              </w:rPr>
              <w:t>1.8%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4995D74" w:rsidR="00E66558" w:rsidRPr="0099018C" w:rsidRDefault="00F73237">
            <w:pPr>
              <w:pStyle w:val="TableRow"/>
              <w:rPr>
                <w:color w:val="auto"/>
              </w:rPr>
            </w:pPr>
            <w:r w:rsidRPr="0099018C">
              <w:rPr>
                <w:color w:val="auto"/>
              </w:rPr>
              <w:t>2023-25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E4FB200" w:rsidR="00E66558" w:rsidRPr="0099018C" w:rsidRDefault="004323DC">
            <w:pPr>
              <w:pStyle w:val="TableRow"/>
              <w:rPr>
                <w:color w:val="auto"/>
              </w:rPr>
            </w:pPr>
            <w:r w:rsidRPr="0099018C">
              <w:rPr>
                <w:color w:val="auto"/>
              </w:rPr>
              <w:t>1.12.22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38BC163" w:rsidR="00E66558" w:rsidRPr="0099018C" w:rsidRDefault="00F73237" w:rsidP="00F73237">
            <w:pPr>
              <w:pStyle w:val="TableRow"/>
              <w:ind w:left="0"/>
              <w:rPr>
                <w:color w:val="auto"/>
              </w:rPr>
            </w:pPr>
            <w:r w:rsidRPr="0099018C">
              <w:rPr>
                <w:color w:val="auto"/>
              </w:rPr>
              <w:t>1.11.23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A53641" w:rsidR="00E66558" w:rsidRPr="0099018C" w:rsidRDefault="00A64B62">
            <w:pPr>
              <w:pStyle w:val="TableRow"/>
              <w:rPr>
                <w:color w:val="auto"/>
              </w:rPr>
            </w:pPr>
            <w:r w:rsidRPr="0099018C">
              <w:rPr>
                <w:color w:val="auto"/>
              </w:rPr>
              <w:t>Alison Daniel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5930C98" w:rsidR="00E66558" w:rsidRPr="0099018C" w:rsidRDefault="00A64B62">
            <w:pPr>
              <w:pStyle w:val="TableRow"/>
              <w:rPr>
                <w:color w:val="auto"/>
              </w:rPr>
            </w:pPr>
            <w:r w:rsidRPr="0099018C">
              <w:rPr>
                <w:color w:val="auto"/>
              </w:rPr>
              <w:t xml:space="preserve">Alison Daniel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25ED64F" w:rsidR="00E66558" w:rsidRDefault="00BB5814">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7F034E7" w:rsidR="00E66558" w:rsidRPr="0099018C" w:rsidRDefault="00F73237">
            <w:pPr>
              <w:pStyle w:val="TableRow"/>
              <w:rPr>
                <w:color w:val="auto"/>
              </w:rPr>
            </w:pPr>
            <w:r w:rsidRPr="0099018C">
              <w:rPr>
                <w:color w:val="auto"/>
              </w:rPr>
              <w:t>Andy Jarman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CA19B37" w:rsidR="00E66558" w:rsidRPr="0099018C" w:rsidRDefault="00F73237" w:rsidP="00F73237">
            <w:pPr>
              <w:pStyle w:val="TableRow"/>
              <w:ind w:left="0"/>
              <w:rPr>
                <w:bCs/>
                <w:color w:val="auto"/>
              </w:rPr>
            </w:pPr>
            <w:r w:rsidRPr="0099018C">
              <w:rPr>
                <w:bCs/>
                <w:color w:val="auto"/>
              </w:rPr>
              <w:t xml:space="preserve">£33,465.00 </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391D8B9" w:rsidR="00E66558" w:rsidRPr="0099018C" w:rsidRDefault="009D71E8" w:rsidP="00A64B62">
            <w:pPr>
              <w:pStyle w:val="TableRow"/>
              <w:rPr>
                <w:color w:val="auto"/>
              </w:rPr>
            </w:pPr>
            <w:r w:rsidRPr="0099018C">
              <w:rPr>
                <w:color w:val="auto"/>
              </w:rPr>
              <w:t>£</w:t>
            </w:r>
            <w:r w:rsidR="00A64B62" w:rsidRPr="0099018C">
              <w:rPr>
                <w:color w:val="auto"/>
              </w:rPr>
              <w:t xml:space="preserve"> </w:t>
            </w:r>
            <w:r w:rsidR="00F73237" w:rsidRPr="0099018C">
              <w:rPr>
                <w:color w:val="auto"/>
              </w:rPr>
              <w:t>3,88</w:t>
            </w:r>
            <w:r w:rsidR="00407F69" w:rsidRPr="0099018C">
              <w:rPr>
                <w:color w:val="auto"/>
              </w:rPr>
              <w:t>8</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C4EDF9" w:rsidR="00E66558" w:rsidRPr="0099018C" w:rsidRDefault="00407F69">
            <w:pPr>
              <w:pStyle w:val="TableRow"/>
              <w:rPr>
                <w:color w:val="auto"/>
              </w:rPr>
            </w:pPr>
            <w:r w:rsidRPr="0099018C">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C4DFB46" w:rsidR="00E66558" w:rsidRPr="0099018C" w:rsidRDefault="00407F69" w:rsidP="00F73237">
            <w:pPr>
              <w:pStyle w:val="TableRow"/>
              <w:rPr>
                <w:color w:val="auto"/>
              </w:rPr>
            </w:pPr>
            <w:r w:rsidRPr="0099018C">
              <w:rPr>
                <w:color w:val="auto"/>
              </w:rPr>
              <w:t>£</w:t>
            </w:r>
            <w:r w:rsidR="00F73237" w:rsidRPr="0099018C">
              <w:rPr>
                <w:color w:val="auto"/>
              </w:rPr>
              <w:t>37,353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781E" w14:textId="77777777" w:rsidR="00FF4A3D" w:rsidRDefault="00FF4A3D">
            <w:pPr>
              <w:spacing w:before="120"/>
              <w:rPr>
                <w:i/>
                <w:iCs/>
              </w:rPr>
            </w:pPr>
            <w:r>
              <w:rPr>
                <w:i/>
                <w:iCs/>
              </w:rPr>
              <w:t>It is our intent that our disadvantaged pupils:</w:t>
            </w:r>
          </w:p>
          <w:p w14:paraId="1F519E65" w14:textId="196F74C4" w:rsidR="00FF4A3D" w:rsidRDefault="00FF4A3D" w:rsidP="00FF4A3D">
            <w:pPr>
              <w:pStyle w:val="ListParagraph"/>
              <w:numPr>
                <w:ilvl w:val="0"/>
                <w:numId w:val="14"/>
              </w:numPr>
              <w:spacing w:before="120"/>
              <w:rPr>
                <w:i/>
                <w:iCs/>
              </w:rPr>
            </w:pPr>
            <w:r>
              <w:rPr>
                <w:i/>
                <w:iCs/>
              </w:rPr>
              <w:t>Have every opportunity to achieve their potential, both academically and in terms</w:t>
            </w:r>
            <w:r w:rsidR="00D41C96">
              <w:rPr>
                <w:i/>
                <w:iCs/>
              </w:rPr>
              <w:t xml:space="preserve"> of their personal development.</w:t>
            </w:r>
          </w:p>
          <w:p w14:paraId="63DF4F8E" w14:textId="4C6E501F" w:rsidR="00D41C96" w:rsidRDefault="00D41C96" w:rsidP="00FF4A3D">
            <w:pPr>
              <w:pStyle w:val="ListParagraph"/>
              <w:numPr>
                <w:ilvl w:val="0"/>
                <w:numId w:val="14"/>
              </w:numPr>
              <w:spacing w:before="120"/>
              <w:rPr>
                <w:i/>
                <w:iCs/>
              </w:rPr>
            </w:pPr>
            <w:r>
              <w:rPr>
                <w:i/>
                <w:iCs/>
              </w:rPr>
              <w:t>Will experience the same high expectations within a high quality, broad and balanced curriculum as all pupils, with support where necessary.</w:t>
            </w:r>
          </w:p>
          <w:p w14:paraId="73C4ADBC" w14:textId="7C21CE4C" w:rsidR="00FF4A3D" w:rsidRDefault="00FF4A3D" w:rsidP="00FF4A3D">
            <w:pPr>
              <w:spacing w:before="120"/>
              <w:rPr>
                <w:i/>
                <w:iCs/>
              </w:rPr>
            </w:pPr>
            <w:r>
              <w:rPr>
                <w:i/>
                <w:iCs/>
              </w:rPr>
              <w:t>This will include:</w:t>
            </w:r>
          </w:p>
          <w:p w14:paraId="37F43FBB" w14:textId="4B4EEF1A" w:rsidR="00FF4A3D" w:rsidRDefault="00D41C96" w:rsidP="00FF4A3D">
            <w:pPr>
              <w:pStyle w:val="ListParagraph"/>
              <w:numPr>
                <w:ilvl w:val="0"/>
                <w:numId w:val="14"/>
              </w:numPr>
              <w:spacing w:before="120"/>
              <w:rPr>
                <w:i/>
                <w:iCs/>
              </w:rPr>
            </w:pPr>
            <w:r>
              <w:rPr>
                <w:i/>
                <w:iCs/>
              </w:rPr>
              <w:t>Provision to allow pupils</w:t>
            </w:r>
            <w:r w:rsidR="00FF4A3D">
              <w:rPr>
                <w:i/>
                <w:iCs/>
              </w:rPr>
              <w:t xml:space="preserve"> to self-regulate their emotions and behaviour</w:t>
            </w:r>
          </w:p>
          <w:p w14:paraId="3B4AFBAB" w14:textId="24576991" w:rsidR="00FF4A3D" w:rsidRDefault="00FF4A3D" w:rsidP="00FF4A3D">
            <w:pPr>
              <w:pStyle w:val="ListParagraph"/>
              <w:numPr>
                <w:ilvl w:val="0"/>
                <w:numId w:val="14"/>
              </w:numPr>
              <w:spacing w:before="120"/>
              <w:rPr>
                <w:i/>
                <w:iCs/>
              </w:rPr>
            </w:pPr>
            <w:r>
              <w:rPr>
                <w:i/>
                <w:iCs/>
              </w:rPr>
              <w:t>Support for mental health and wellbeing</w:t>
            </w:r>
          </w:p>
          <w:p w14:paraId="487992C7" w14:textId="3A631D92" w:rsidR="00FF4A3D" w:rsidRDefault="00D41C96" w:rsidP="00FF4A3D">
            <w:pPr>
              <w:pStyle w:val="ListParagraph"/>
              <w:numPr>
                <w:ilvl w:val="0"/>
                <w:numId w:val="14"/>
              </w:numPr>
              <w:spacing w:before="120"/>
              <w:rPr>
                <w:i/>
                <w:iCs/>
              </w:rPr>
            </w:pPr>
            <w:r>
              <w:rPr>
                <w:i/>
                <w:iCs/>
              </w:rPr>
              <w:t>Additional adult support to allow them to access high quality teaching and learning experiences in class</w:t>
            </w:r>
          </w:p>
          <w:p w14:paraId="07722A42" w14:textId="67058ECC" w:rsidR="00D41C96" w:rsidRDefault="00D41C96" w:rsidP="00FF4A3D">
            <w:pPr>
              <w:pStyle w:val="ListParagraph"/>
              <w:numPr>
                <w:ilvl w:val="0"/>
                <w:numId w:val="14"/>
              </w:numPr>
              <w:spacing w:before="120"/>
              <w:rPr>
                <w:i/>
                <w:iCs/>
              </w:rPr>
            </w:pPr>
            <w:r>
              <w:rPr>
                <w:i/>
                <w:iCs/>
              </w:rPr>
              <w:t>Interventions, where appropriate, to support specific needs</w:t>
            </w:r>
          </w:p>
          <w:p w14:paraId="0BDA93D4" w14:textId="0C88D693" w:rsidR="00D41C96" w:rsidRDefault="00D41C96" w:rsidP="00FF4A3D">
            <w:pPr>
              <w:pStyle w:val="ListParagraph"/>
              <w:numPr>
                <w:ilvl w:val="0"/>
                <w:numId w:val="14"/>
              </w:numPr>
              <w:spacing w:before="120"/>
              <w:rPr>
                <w:i/>
                <w:iCs/>
              </w:rPr>
            </w:pPr>
            <w:r>
              <w:rPr>
                <w:i/>
                <w:iCs/>
              </w:rPr>
              <w:t>Access to extra-curricular activities</w:t>
            </w:r>
          </w:p>
          <w:p w14:paraId="2A7D54E9" w14:textId="1F8E05B9" w:rsidR="00E66558" w:rsidRPr="00D41C96" w:rsidRDefault="00D41C96" w:rsidP="00D41C96">
            <w:pPr>
              <w:pStyle w:val="ListParagraph"/>
              <w:numPr>
                <w:ilvl w:val="0"/>
                <w:numId w:val="14"/>
              </w:numPr>
              <w:spacing w:before="120"/>
              <w:rPr>
                <w:i/>
                <w:iCs/>
              </w:rPr>
            </w:pPr>
            <w:r>
              <w:rPr>
                <w:i/>
                <w:iCs/>
              </w:rPr>
              <w:t>Access to school trips/visits/experiences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152AF8D" w:rsidR="00E66558" w:rsidRPr="0016652D" w:rsidRDefault="00D41C96">
            <w:pPr>
              <w:pStyle w:val="TableRowCentered"/>
              <w:jc w:val="left"/>
            </w:pPr>
            <w:r w:rsidRPr="0016652D">
              <w:rPr>
                <w:iCs/>
                <w:sz w:val="22"/>
                <w:szCs w:val="22"/>
              </w:rPr>
              <w:t xml:space="preserve">A high proportion of our pupil premium children also have identified </w:t>
            </w:r>
            <w:r w:rsidR="00B44A4D" w:rsidRPr="0016652D">
              <w:rPr>
                <w:iCs/>
                <w:sz w:val="22"/>
                <w:szCs w:val="22"/>
              </w:rPr>
              <w:t xml:space="preserve">complex </w:t>
            </w:r>
            <w:r w:rsidR="002D4DF6">
              <w:rPr>
                <w:iCs/>
                <w:sz w:val="22"/>
                <w:szCs w:val="22"/>
              </w:rPr>
              <w:t>additional needs, either social and emotional or SEND.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295D9F7" w:rsidR="00E66558" w:rsidRPr="0016652D" w:rsidRDefault="00CD26B5">
            <w:pPr>
              <w:pStyle w:val="TableRowCentered"/>
              <w:jc w:val="left"/>
              <w:rPr>
                <w:sz w:val="22"/>
                <w:szCs w:val="22"/>
              </w:rPr>
            </w:pPr>
            <w:r w:rsidRPr="0016652D">
              <w:rPr>
                <w:sz w:val="22"/>
                <w:szCs w:val="22"/>
              </w:rPr>
              <w:t>Some of our pupil premium children have limited opportunity for support at h</w:t>
            </w:r>
            <w:r w:rsidR="00B44A4D" w:rsidRPr="0016652D">
              <w:rPr>
                <w:sz w:val="22"/>
                <w:szCs w:val="22"/>
              </w:rPr>
              <w:t xml:space="preserve">ome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44C4932" w:rsidR="00E66558" w:rsidRDefault="00B44A4D">
            <w:pPr>
              <w:pStyle w:val="TableRowCentered"/>
              <w:jc w:val="left"/>
              <w:rPr>
                <w:sz w:val="22"/>
                <w:szCs w:val="22"/>
              </w:rPr>
            </w:pPr>
            <w:r>
              <w:rPr>
                <w:sz w:val="22"/>
                <w:szCs w:val="22"/>
              </w:rPr>
              <w:t>Despite provision of IT</w:t>
            </w:r>
            <w:r w:rsidR="00FE7E7A">
              <w:rPr>
                <w:sz w:val="22"/>
                <w:szCs w:val="22"/>
              </w:rPr>
              <w:t>, comprehensive remote learning package</w:t>
            </w:r>
            <w:r>
              <w:rPr>
                <w:sz w:val="22"/>
                <w:szCs w:val="22"/>
              </w:rPr>
              <w:t xml:space="preserve"> and invitations into the setting, some PP children had disrupted </w:t>
            </w:r>
            <w:r w:rsidR="00F73237">
              <w:rPr>
                <w:sz w:val="22"/>
                <w:szCs w:val="22"/>
              </w:rPr>
              <w:t>access to education during the C</w:t>
            </w:r>
            <w:r>
              <w:rPr>
                <w:sz w:val="22"/>
                <w:szCs w:val="22"/>
              </w:rPr>
              <w:t>ovid pandemic</w:t>
            </w:r>
            <w:r w:rsidR="00FE7E7A">
              <w:rPr>
                <w:sz w:val="22"/>
                <w:szCs w:val="22"/>
              </w:rPr>
              <w:t xml:space="preserve"> and are therefore presenting with gaps in knowledge.</w:t>
            </w:r>
            <w:r w:rsidR="00F73237">
              <w:rPr>
                <w:sz w:val="22"/>
                <w:szCs w:val="22"/>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B1E75A4" w:rsidR="00E66558" w:rsidRPr="00432345" w:rsidRDefault="0034715D" w:rsidP="00856575">
            <w:pPr>
              <w:pStyle w:val="TableRowCentered"/>
              <w:jc w:val="left"/>
              <w:rPr>
                <w:iCs/>
                <w:color w:val="auto"/>
                <w:sz w:val="22"/>
              </w:rPr>
            </w:pPr>
            <w:r>
              <w:rPr>
                <w:iCs/>
                <w:color w:val="auto"/>
                <w:sz w:val="22"/>
              </w:rPr>
              <w:t xml:space="preserve">School attainment at the end of all key stages is in line with or above national figures. The focus for school improvement now is to make greater levels of progress and enable more pupils to achieve at a higher standard, particularly in maths and writing. </w:t>
            </w:r>
          </w:p>
        </w:tc>
      </w:tr>
    </w:tbl>
    <w:p w14:paraId="2A7D54FF" w14:textId="77777777" w:rsidR="00E66558" w:rsidRDefault="009D71E8">
      <w:pPr>
        <w:pStyle w:val="Heading2"/>
        <w:spacing w:before="600"/>
      </w:pPr>
      <w:bookmarkStart w:id="17"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D87F8CC" w:rsidR="00E66558" w:rsidRPr="00744E42" w:rsidRDefault="00744E42">
            <w:pPr>
              <w:pStyle w:val="TableRow"/>
            </w:pPr>
            <w:r w:rsidRPr="00744E42">
              <w:rPr>
                <w:iCs/>
                <w:sz w:val="22"/>
                <w:szCs w:val="22"/>
              </w:rPr>
              <w:t>All disadvantaged pupils will experience equality of opportunity in terms of academic and personal development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7C47" w14:textId="1F03D287" w:rsidR="00BB5814" w:rsidRDefault="00744E42" w:rsidP="00BB5814">
            <w:pPr>
              <w:pStyle w:val="TableRowCentered"/>
              <w:jc w:val="left"/>
              <w:rPr>
                <w:sz w:val="22"/>
                <w:szCs w:val="22"/>
              </w:rPr>
            </w:pPr>
            <w:r>
              <w:rPr>
                <w:sz w:val="22"/>
                <w:szCs w:val="22"/>
              </w:rPr>
              <w:t>All disadvantaged pupils will make good progress from their starting points</w:t>
            </w:r>
          </w:p>
          <w:p w14:paraId="2A7D5505" w14:textId="24806EE4" w:rsidR="00E66558" w:rsidRDefault="00744E42">
            <w:pPr>
              <w:pStyle w:val="TableRowCentered"/>
              <w:jc w:val="left"/>
              <w:rPr>
                <w:sz w:val="22"/>
                <w:szCs w:val="22"/>
              </w:rPr>
            </w:pPr>
            <w:r>
              <w:rPr>
                <w:sz w:val="22"/>
                <w:szCs w:val="22"/>
              </w:rPr>
              <w:t>All disadvantaged pupils will have the opportunity to engage in extra-curricular activities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A6450D7" w:rsidR="00E66558" w:rsidRDefault="00744E42">
            <w:pPr>
              <w:pStyle w:val="TableRow"/>
              <w:rPr>
                <w:sz w:val="22"/>
                <w:szCs w:val="22"/>
              </w:rPr>
            </w:pPr>
            <w:r>
              <w:rPr>
                <w:sz w:val="22"/>
                <w:szCs w:val="22"/>
              </w:rPr>
              <w:t>Disadvantaged pupils will have barriers to learning removed wherever possible.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EE9A" w14:textId="32CC3707" w:rsidR="00AE4636" w:rsidRDefault="00AE4636">
            <w:pPr>
              <w:pStyle w:val="TableRowCentered"/>
              <w:jc w:val="left"/>
              <w:rPr>
                <w:sz w:val="22"/>
                <w:szCs w:val="22"/>
              </w:rPr>
            </w:pPr>
            <w:r>
              <w:rPr>
                <w:sz w:val="22"/>
                <w:szCs w:val="22"/>
              </w:rPr>
              <w:t>Pupils will benefit from</w:t>
            </w:r>
          </w:p>
          <w:p w14:paraId="6554AA7E" w14:textId="1B2B1430" w:rsidR="00AE4636" w:rsidRDefault="00AE4636">
            <w:pPr>
              <w:pStyle w:val="TableRowCentered"/>
              <w:jc w:val="left"/>
              <w:rPr>
                <w:sz w:val="22"/>
                <w:szCs w:val="22"/>
              </w:rPr>
            </w:pPr>
            <w:r>
              <w:rPr>
                <w:sz w:val="22"/>
                <w:szCs w:val="22"/>
              </w:rPr>
              <w:t>daily reading in school</w:t>
            </w:r>
          </w:p>
          <w:p w14:paraId="1FEC8DF2" w14:textId="77777777" w:rsidR="00AE4636" w:rsidRDefault="00AE4636">
            <w:pPr>
              <w:pStyle w:val="TableRowCentered"/>
              <w:jc w:val="left"/>
              <w:rPr>
                <w:sz w:val="22"/>
                <w:szCs w:val="22"/>
              </w:rPr>
            </w:pPr>
            <w:r>
              <w:rPr>
                <w:sz w:val="22"/>
                <w:szCs w:val="22"/>
              </w:rPr>
              <w:t>emotional/pastoral support where required</w:t>
            </w:r>
          </w:p>
          <w:p w14:paraId="2A7D5508" w14:textId="4D14D277" w:rsidR="00E66558" w:rsidRDefault="00AE4636">
            <w:pPr>
              <w:pStyle w:val="TableRowCentered"/>
              <w:jc w:val="left"/>
              <w:rPr>
                <w:sz w:val="22"/>
                <w:szCs w:val="22"/>
              </w:rPr>
            </w:pPr>
            <w:r>
              <w:rPr>
                <w:sz w:val="22"/>
                <w:szCs w:val="22"/>
              </w:rPr>
              <w:t>SEND interventions as required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B2EEAC7" w:rsidR="00BB5814" w:rsidRDefault="00BB5814" w:rsidP="00BB5814">
            <w:pPr>
              <w:pStyle w:val="TableRow"/>
              <w:ind w:left="0"/>
              <w:rPr>
                <w:sz w:val="22"/>
                <w:szCs w:val="22"/>
              </w:rPr>
            </w:pPr>
            <w:r>
              <w:rPr>
                <w:sz w:val="22"/>
                <w:szCs w:val="22"/>
              </w:rPr>
              <w:t>Expectations of al</w:t>
            </w:r>
            <w:r w:rsidR="00C42D60">
              <w:rPr>
                <w:sz w:val="22"/>
                <w:szCs w:val="22"/>
              </w:rPr>
              <w:t xml:space="preserve">l pupils including disadvantaged pupils are high and children are supported to achieve high standards.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CC7D655" w:rsidR="00E66558" w:rsidRDefault="00C42D60">
            <w:pPr>
              <w:pStyle w:val="TableRowCentered"/>
              <w:jc w:val="left"/>
              <w:rPr>
                <w:sz w:val="22"/>
                <w:szCs w:val="22"/>
              </w:rPr>
            </w:pPr>
            <w:r>
              <w:rPr>
                <w:sz w:val="22"/>
                <w:szCs w:val="22"/>
              </w:rPr>
              <w:t>Provision for each individual meets their needs appropriately to enable them to make good progress form their starting points.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865614" w:rsidR="00E66558" w:rsidRDefault="009D71E8">
      <w:pPr>
        <w:rPr>
          <w:i/>
          <w:iCs/>
        </w:rPr>
      </w:pPr>
      <w:r>
        <w:t xml:space="preserve">Budgeted cost: </w:t>
      </w:r>
      <w:r w:rsidR="00B95AA1">
        <w:rPr>
          <w:i/>
          <w:iCs/>
        </w:rPr>
        <w:t>£1,200</w:t>
      </w:r>
      <w:r w:rsidR="009248AF">
        <w:rPr>
          <w:i/>
          <w:iCs/>
        </w:rPr>
        <w:t xml:space="preserve"> </w:t>
      </w:r>
      <w:r w:rsidR="00BB5814">
        <w:rPr>
          <w:i/>
          <w:iCs/>
        </w:rPr>
        <w:t>o</w:t>
      </w:r>
      <w:r w:rsidR="00B95AA1">
        <w:rPr>
          <w:i/>
          <w:iCs/>
        </w:rPr>
        <w:t>nline phonics teaching</w:t>
      </w:r>
      <w:r w:rsidR="001C1F10">
        <w:rPr>
          <w:i/>
          <w:iCs/>
        </w:rPr>
        <w:t xml:space="preserve"> resources</w:t>
      </w:r>
      <w:r w:rsidR="00B95AA1">
        <w:rPr>
          <w:i/>
          <w:iCs/>
        </w:rPr>
        <w:t xml:space="preserve"> and support, £5,800 </w:t>
      </w:r>
      <w:r w:rsidR="00BB5814">
        <w:rPr>
          <w:i/>
          <w:iCs/>
        </w:rPr>
        <w:t>TA</w:t>
      </w:r>
      <w:r w:rsidR="001C1F10">
        <w:rPr>
          <w:i/>
          <w:iCs/>
        </w:rPr>
        <w:t xml:space="preserve"> time for Early</w:t>
      </w:r>
      <w:r w:rsidR="00162C53">
        <w:rPr>
          <w:i/>
          <w:iCs/>
        </w:rPr>
        <w:t xml:space="preserve"> Bird sessions 8 hours per week. Additional phonics resources £500</w:t>
      </w:r>
      <w:r w:rsidR="0099018C">
        <w:rPr>
          <w:i/>
          <w:iCs/>
        </w:rPr>
        <w:t xml:space="preserve">. LBQ £250 </w:t>
      </w:r>
    </w:p>
    <w:p w14:paraId="092DB3A7" w14:textId="7EE7F9D6" w:rsidR="001C1F10" w:rsidRPr="001C1F10" w:rsidRDefault="00B95AA1">
      <w:pPr>
        <w:rPr>
          <w:i/>
          <w:iCs/>
        </w:rPr>
      </w:pPr>
      <w:r>
        <w:rPr>
          <w:i/>
          <w:iCs/>
        </w:rPr>
        <w:t>Total £7,</w:t>
      </w:r>
      <w:r w:rsidR="0099018C">
        <w:rPr>
          <w:i/>
          <w:iCs/>
        </w:rPr>
        <w:t>75</w:t>
      </w:r>
      <w:r>
        <w:rPr>
          <w:i/>
          <w:iCs/>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7BFFED6" w:rsidR="00E66558" w:rsidRPr="00CF76C8" w:rsidRDefault="00B95AA1">
            <w:pPr>
              <w:pStyle w:val="TableRow"/>
              <w:rPr>
                <w:sz w:val="22"/>
              </w:rPr>
            </w:pPr>
            <w:r>
              <w:rPr>
                <w:sz w:val="22"/>
              </w:rPr>
              <w:t>Further e</w:t>
            </w:r>
            <w:r w:rsidR="001316CC" w:rsidRPr="00CF76C8">
              <w:rPr>
                <w:sz w:val="22"/>
              </w:rPr>
              <w:t>mbed minimal strategic marking to enable self-determination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1EA4" w14:textId="3268563E" w:rsidR="00CF76C8" w:rsidRDefault="001316CC" w:rsidP="00C42D60">
            <w:pPr>
              <w:pStyle w:val="TableRowCentered"/>
              <w:jc w:val="left"/>
              <w:rPr>
                <w:sz w:val="22"/>
              </w:rPr>
            </w:pPr>
            <w:r>
              <w:rPr>
                <w:sz w:val="22"/>
              </w:rPr>
              <w:t>EEF Toolkit states that pupils make up to 7 months additional progress when taking responsibility for their own learning and behaviour.</w:t>
            </w:r>
          </w:p>
          <w:p w14:paraId="2A7D551F" w14:textId="549C3780" w:rsidR="00E66558" w:rsidRDefault="00CF76C8">
            <w:pPr>
              <w:pStyle w:val="TableRowCentered"/>
              <w:jc w:val="left"/>
              <w:rPr>
                <w:sz w:val="22"/>
              </w:rPr>
            </w:pPr>
            <w:r>
              <w:rPr>
                <w:sz w:val="22"/>
              </w:rPr>
              <w:t xml:space="preserve">Timely and individualised feedback can lead to up to 6 months additional progress.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C491" w14:textId="36049405" w:rsidR="00E66558" w:rsidRDefault="00FE7E7A">
            <w:pPr>
              <w:pStyle w:val="TableRowCentered"/>
              <w:jc w:val="left"/>
              <w:rPr>
                <w:sz w:val="22"/>
              </w:rPr>
            </w:pPr>
            <w:r>
              <w:rPr>
                <w:sz w:val="22"/>
              </w:rPr>
              <w:t>1</w:t>
            </w:r>
          </w:p>
          <w:p w14:paraId="2A7D5520" w14:textId="2131C008" w:rsidR="00FE7E7A" w:rsidRDefault="00FE7E7A" w:rsidP="00744E42">
            <w:pPr>
              <w:pStyle w:val="TableRowCentered"/>
              <w:ind w:left="0"/>
              <w:jc w:val="left"/>
              <w:rPr>
                <w:sz w:val="22"/>
              </w:rPr>
            </w:pPr>
          </w:p>
        </w:tc>
      </w:tr>
      <w:tr w:rsidR="001316CC" w14:paraId="6688030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505A" w14:textId="77777777" w:rsidR="001316CC" w:rsidRDefault="00856575" w:rsidP="00856575">
            <w:pPr>
              <w:pStyle w:val="TableRow"/>
              <w:ind w:left="0"/>
              <w:rPr>
                <w:sz w:val="22"/>
              </w:rPr>
            </w:pPr>
            <w:r>
              <w:rPr>
                <w:sz w:val="22"/>
              </w:rPr>
              <w:t>Embed</w:t>
            </w:r>
            <w:r w:rsidR="001316CC" w:rsidRPr="00CF76C8">
              <w:rPr>
                <w:sz w:val="22"/>
              </w:rPr>
              <w:t xml:space="preserve"> training for phonics teaching including resources</w:t>
            </w:r>
          </w:p>
          <w:p w14:paraId="6FD24F32" w14:textId="795A23F9" w:rsidR="0034715D" w:rsidRPr="00CF76C8" w:rsidRDefault="0034715D" w:rsidP="00856575">
            <w:pPr>
              <w:pStyle w:val="TableRow"/>
              <w:ind w:left="0"/>
              <w:rPr>
                <w:sz w:val="22"/>
              </w:rPr>
            </w:pPr>
            <w:r>
              <w:rPr>
                <w:sz w:val="22"/>
              </w:rPr>
              <w:t xml:space="preserve">Further embed 1:1 tuition in phonics for children requiring additional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2AEB" w14:textId="35861CF7" w:rsidR="001316CC" w:rsidRDefault="001316CC">
            <w:pPr>
              <w:pStyle w:val="TableRowCentered"/>
              <w:jc w:val="left"/>
              <w:rPr>
                <w:sz w:val="22"/>
              </w:rPr>
            </w:pPr>
            <w:r>
              <w:rPr>
                <w:sz w:val="22"/>
              </w:rPr>
              <w:t xml:space="preserve">EEF toolkit states that high quality consistent phonics teaching can make up to 5 months additional </w:t>
            </w:r>
            <w:r w:rsidR="00CF76C8">
              <w:rPr>
                <w:sz w:val="22"/>
              </w:rPr>
              <w:t>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8004" w14:textId="73D4E8CD" w:rsidR="001316CC" w:rsidRDefault="0034715D">
            <w:pPr>
              <w:pStyle w:val="TableRowCentered"/>
              <w:jc w:val="left"/>
              <w:rPr>
                <w:sz w:val="22"/>
              </w:rPr>
            </w:pPr>
            <w:r>
              <w:rPr>
                <w:sz w:val="22"/>
              </w:rPr>
              <w:t>4</w:t>
            </w:r>
          </w:p>
        </w:tc>
      </w:tr>
      <w:tr w:rsidR="001316CC" w14:paraId="5CB0E6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846A" w14:textId="2D340D73" w:rsidR="001316CC" w:rsidRPr="00CF76C8" w:rsidRDefault="00CF76C8">
            <w:pPr>
              <w:pStyle w:val="TableRow"/>
              <w:rPr>
                <w:sz w:val="22"/>
              </w:rPr>
            </w:pPr>
            <w:r w:rsidRPr="00CF76C8">
              <w:rPr>
                <w:sz w:val="22"/>
              </w:rPr>
              <w:t>Early bird sessions for all PP children to allow for pre-teach and additional comprehension both individually and in small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6634C" w14:textId="1762B6F1" w:rsidR="001316CC" w:rsidRDefault="00CF76C8">
            <w:pPr>
              <w:pStyle w:val="TableRowCentered"/>
              <w:jc w:val="left"/>
              <w:rPr>
                <w:sz w:val="22"/>
              </w:rPr>
            </w:pPr>
            <w:r>
              <w:rPr>
                <w:sz w:val="22"/>
              </w:rPr>
              <w:t xml:space="preserve">EEF toolkit states that extending the school day can lead to up to an additional 3 months progress. </w:t>
            </w:r>
          </w:p>
          <w:p w14:paraId="411107FA" w14:textId="2A2D91E8" w:rsidR="00CF76C8" w:rsidRDefault="00CF76C8">
            <w:pPr>
              <w:pStyle w:val="TableRowCentered"/>
              <w:jc w:val="left"/>
              <w:rPr>
                <w:sz w:val="22"/>
              </w:rPr>
            </w:pPr>
            <w:r>
              <w:rPr>
                <w:sz w:val="22"/>
              </w:rPr>
              <w:t>1:1 tuition can lead to an additional 5 months progress.</w:t>
            </w:r>
          </w:p>
          <w:p w14:paraId="31432C7A" w14:textId="262685CC" w:rsidR="00CF76C8" w:rsidRDefault="00CF76C8">
            <w:pPr>
              <w:pStyle w:val="TableRowCentered"/>
              <w:jc w:val="left"/>
              <w:rPr>
                <w:sz w:val="22"/>
              </w:rPr>
            </w:pPr>
            <w:r>
              <w:rPr>
                <w:sz w:val="22"/>
              </w:rPr>
              <w:t>Small group tuition can lead to an additional 4 months progress.</w:t>
            </w:r>
          </w:p>
          <w:p w14:paraId="386AABDA" w14:textId="4EBF54D6" w:rsidR="00CF76C8" w:rsidRDefault="00CF76C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9FC3" w14:textId="68DCAFF4" w:rsidR="001316CC" w:rsidRDefault="0034715D">
            <w:pPr>
              <w:pStyle w:val="TableRowCentered"/>
              <w:jc w:val="left"/>
              <w:rPr>
                <w:sz w:val="22"/>
              </w:rPr>
            </w:pPr>
            <w:r>
              <w:rPr>
                <w:sz w:val="22"/>
              </w:rPr>
              <w:t>2/3/4</w:t>
            </w:r>
          </w:p>
        </w:tc>
      </w:tr>
      <w:tr w:rsidR="001316CC" w14:paraId="6E3A4B6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9DB9" w14:textId="559D492D" w:rsidR="00EE7CB8" w:rsidRPr="00B95AA1" w:rsidRDefault="00744E42">
            <w:pPr>
              <w:pStyle w:val="TableRow"/>
              <w:rPr>
                <w:sz w:val="22"/>
                <w:szCs w:val="22"/>
              </w:rPr>
            </w:pPr>
            <w:r w:rsidRPr="00B95AA1">
              <w:rPr>
                <w:sz w:val="22"/>
                <w:szCs w:val="22"/>
              </w:rPr>
              <w:t>Additional adult</w:t>
            </w:r>
            <w:r w:rsidR="0096697A">
              <w:rPr>
                <w:sz w:val="22"/>
                <w:szCs w:val="22"/>
              </w:rPr>
              <w:t xml:space="preserve"> support</w:t>
            </w:r>
            <w:r w:rsidRPr="00B95AA1">
              <w:rPr>
                <w:sz w:val="22"/>
                <w:szCs w:val="22"/>
              </w:rPr>
              <w:t xml:space="preserve"> in class to provide high quality interactions and to carry out daily interventions with children lacking support at home</w:t>
            </w:r>
            <w:r w:rsidR="00AE4636" w:rsidRPr="00B95AA1">
              <w:rPr>
                <w:sz w:val="22"/>
                <w:szCs w:val="22"/>
              </w:rPr>
              <w:t xml:space="preserve"> e.g. daily reading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D026B" w14:textId="77777777" w:rsidR="00AE4636" w:rsidRDefault="00AE4636" w:rsidP="00AE4636">
            <w:pPr>
              <w:pStyle w:val="TableRowCentered"/>
              <w:jc w:val="left"/>
              <w:rPr>
                <w:sz w:val="22"/>
              </w:rPr>
            </w:pPr>
            <w:r>
              <w:rPr>
                <w:sz w:val="22"/>
              </w:rPr>
              <w:t>EEF Toolkit states that:-</w:t>
            </w:r>
          </w:p>
          <w:p w14:paraId="76D2966A" w14:textId="77777777" w:rsidR="00AE4636" w:rsidRDefault="00AE4636" w:rsidP="00AE4636">
            <w:pPr>
              <w:pStyle w:val="TableRowCentered"/>
              <w:jc w:val="left"/>
              <w:rPr>
                <w:sz w:val="22"/>
              </w:rPr>
            </w:pPr>
            <w:r>
              <w:rPr>
                <w:sz w:val="22"/>
              </w:rPr>
              <w:t>TA interventions can make up to 4 months additional progress</w:t>
            </w:r>
          </w:p>
          <w:p w14:paraId="58A4930E" w14:textId="77777777" w:rsidR="001316CC" w:rsidRDefault="001316C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598D" w14:textId="4A010097" w:rsidR="001316CC" w:rsidRDefault="0034715D">
            <w:pPr>
              <w:pStyle w:val="TableRowCentered"/>
              <w:jc w:val="left"/>
              <w:rPr>
                <w:sz w:val="22"/>
              </w:rPr>
            </w:pPr>
            <w:r>
              <w:rPr>
                <w:sz w:val="22"/>
              </w:rPr>
              <w:t>2/3/4</w:t>
            </w:r>
          </w:p>
        </w:tc>
      </w:tr>
      <w:tr w:rsidR="0099018C" w14:paraId="63DBA7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A794" w14:textId="4F96027A" w:rsidR="0099018C" w:rsidRPr="00B95AA1" w:rsidRDefault="0099018C" w:rsidP="0099018C">
            <w:pPr>
              <w:pStyle w:val="TableRow"/>
              <w:rPr>
                <w:sz w:val="22"/>
                <w:szCs w:val="22"/>
              </w:rPr>
            </w:pPr>
            <w:r>
              <w:rPr>
                <w:sz w:val="22"/>
              </w:rPr>
              <w:t>Learning by questions (LBQ) tutoring for Year 5 and 6 pupils to plug gaps in maths application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2136" w14:textId="77777777" w:rsidR="0099018C" w:rsidRDefault="0099018C" w:rsidP="0099018C">
            <w:pPr>
              <w:pStyle w:val="TableRowCentered"/>
              <w:jc w:val="left"/>
              <w:rPr>
                <w:sz w:val="22"/>
              </w:rPr>
            </w:pPr>
            <w:r>
              <w:rPr>
                <w:sz w:val="22"/>
              </w:rPr>
              <w:t>EEF Toolkit states 1:1 tuition can lead to an additional 5 months progress.</w:t>
            </w:r>
          </w:p>
          <w:p w14:paraId="342DDE5D" w14:textId="77777777" w:rsidR="0099018C" w:rsidRDefault="0099018C" w:rsidP="0099018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6A87" w14:textId="6592E632" w:rsidR="0099018C" w:rsidRDefault="0099018C" w:rsidP="0099018C">
            <w:pPr>
              <w:pStyle w:val="TableRowCentered"/>
              <w:jc w:val="left"/>
              <w:rPr>
                <w:sz w:val="22"/>
              </w:rPr>
            </w:pPr>
            <w:r>
              <w:rPr>
                <w:sz w:val="22"/>
              </w:rPr>
              <w:t>2/3/4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07E23A3" w:rsidR="00E66558" w:rsidRPr="0099018C" w:rsidRDefault="009D71E8">
      <w:pPr>
        <w:rPr>
          <w:i/>
          <w:color w:val="auto"/>
        </w:rPr>
      </w:pPr>
      <w:r w:rsidRPr="00B95AA1">
        <w:rPr>
          <w:color w:val="auto"/>
        </w:rPr>
        <w:t>B</w:t>
      </w:r>
      <w:r w:rsidRPr="0099018C">
        <w:rPr>
          <w:color w:val="auto"/>
        </w:rPr>
        <w:t>udgeted cost:</w:t>
      </w:r>
      <w:r w:rsidRPr="0099018C">
        <w:rPr>
          <w:i/>
          <w:color w:val="auto"/>
        </w:rPr>
        <w:t xml:space="preserve"> £ </w:t>
      </w:r>
      <w:r w:rsidR="00E86877" w:rsidRPr="0099018C">
        <w:rPr>
          <w:i/>
          <w:color w:val="auto"/>
        </w:rPr>
        <w:t>7,250</w:t>
      </w:r>
      <w:r w:rsidR="00FB1B9A" w:rsidRPr="0099018C">
        <w:rPr>
          <w:i/>
          <w:color w:val="auto"/>
        </w:rPr>
        <w:t xml:space="preserve"> </w:t>
      </w:r>
      <w:r w:rsidR="00B95AA1" w:rsidRPr="0099018C">
        <w:rPr>
          <w:i/>
          <w:color w:val="auto"/>
        </w:rPr>
        <w:t>(Experienced TA support 4 a</w:t>
      </w:r>
      <w:r w:rsidR="00E86877" w:rsidRPr="0099018C">
        <w:rPr>
          <w:i/>
          <w:color w:val="auto"/>
        </w:rPr>
        <w:t>fternoons per week</w:t>
      </w:r>
      <w:r w:rsidR="00F702FF" w:rsidRPr="0099018C">
        <w:rPr>
          <w:i/>
          <w:color w:val="auto"/>
        </w:rPr>
        <w:t>)</w:t>
      </w:r>
    </w:p>
    <w:p w14:paraId="6B836913" w14:textId="4105EB4B" w:rsidR="001C1F10" w:rsidRPr="0099018C" w:rsidRDefault="001C1F10">
      <w:pPr>
        <w:rPr>
          <w:i/>
          <w:color w:val="auto"/>
        </w:rPr>
      </w:pPr>
      <w:r w:rsidRPr="0099018C">
        <w:rPr>
          <w:i/>
          <w:color w:val="auto"/>
        </w:rPr>
        <w:t>Total £</w:t>
      </w:r>
      <w:r w:rsidR="00E86877" w:rsidRPr="0099018C">
        <w:rPr>
          <w:i/>
          <w:color w:val="auto"/>
        </w:rPr>
        <w:t>7,250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2503EB68" w:rsidR="00E66558" w:rsidRDefault="009D71E8" w:rsidP="00FE7E7A">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006954F" w:rsidR="00E66558" w:rsidRDefault="00EE7CB8" w:rsidP="00EE7CB8">
            <w:pPr>
              <w:pStyle w:val="TableRow"/>
              <w:ind w:left="0"/>
            </w:pPr>
            <w:r w:rsidRPr="00744E42">
              <w:rPr>
                <w:sz w:val="22"/>
              </w:rPr>
              <w:t xml:space="preserve">Small group and 1:1 provision for all PP children as required following </w:t>
            </w:r>
            <w:r w:rsidR="00744E42" w:rsidRPr="00744E42">
              <w:rPr>
                <w:sz w:val="22"/>
              </w:rPr>
              <w:t>Pupil progress meetings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1C94" w14:textId="4924D4BD" w:rsidR="00744E42" w:rsidRDefault="00744E42" w:rsidP="00744E42">
            <w:pPr>
              <w:pStyle w:val="TableRowCentered"/>
              <w:jc w:val="left"/>
              <w:rPr>
                <w:sz w:val="22"/>
              </w:rPr>
            </w:pPr>
            <w:r>
              <w:rPr>
                <w:sz w:val="22"/>
              </w:rPr>
              <w:t>EEF Toolkit states 1:1 tuition can lead to an additional 5 months progress.</w:t>
            </w:r>
          </w:p>
          <w:p w14:paraId="2B594C7C" w14:textId="1297B116" w:rsidR="00744E42" w:rsidRDefault="00744E42" w:rsidP="00FE7E7A">
            <w:pPr>
              <w:pStyle w:val="TableRowCentered"/>
              <w:jc w:val="left"/>
              <w:rPr>
                <w:sz w:val="22"/>
              </w:rPr>
            </w:pPr>
            <w:r>
              <w:rPr>
                <w:sz w:val="22"/>
              </w:rPr>
              <w:t>Small group tuition can lead to an additional 4 months progress.</w:t>
            </w:r>
          </w:p>
          <w:p w14:paraId="1BD7E81F" w14:textId="77777777" w:rsidR="00744E42" w:rsidRDefault="00744E42" w:rsidP="00744E42">
            <w:pPr>
              <w:pStyle w:val="TableRowCentered"/>
              <w:jc w:val="left"/>
              <w:rPr>
                <w:sz w:val="22"/>
              </w:rPr>
            </w:pPr>
            <w:r>
              <w:rPr>
                <w:sz w:val="22"/>
              </w:rPr>
              <w:t>Oral language interventions can lead to up to 6 months additional progress.</w:t>
            </w:r>
          </w:p>
          <w:p w14:paraId="2A7D552A" w14:textId="3E5ECB1C" w:rsidR="00EE7CB8" w:rsidRDefault="00EE7CB8" w:rsidP="00EE7CB8">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8965F4C" w:rsidR="00E66558" w:rsidRDefault="0034715D">
            <w:pPr>
              <w:pStyle w:val="TableRowCentered"/>
              <w:jc w:val="left"/>
              <w:rPr>
                <w:sz w:val="22"/>
              </w:rPr>
            </w:pPr>
            <w:r>
              <w:rPr>
                <w:sz w:val="22"/>
              </w:rPr>
              <w:t>2/3/4</w:t>
            </w:r>
          </w:p>
        </w:tc>
      </w:tr>
      <w:tr w:rsidR="00744E42"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89A4F7B" w:rsidR="00744E42" w:rsidRPr="00B95AA1" w:rsidRDefault="00B95AA1" w:rsidP="00744E42">
            <w:pPr>
              <w:pStyle w:val="TableRow"/>
              <w:rPr>
                <w:sz w:val="22"/>
              </w:rPr>
            </w:pPr>
            <w:r w:rsidRPr="00B95AA1">
              <w:rPr>
                <w:sz w:val="22"/>
              </w:rPr>
              <w:t>Reassign KS1/EYFS TAs in the afternoons to support KS2 children in need of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6C" w14:textId="77777777" w:rsidR="00744E42" w:rsidRDefault="00744E42" w:rsidP="00744E42">
            <w:pPr>
              <w:pStyle w:val="TableRowCentered"/>
              <w:jc w:val="left"/>
              <w:rPr>
                <w:sz w:val="22"/>
              </w:rPr>
            </w:pPr>
            <w:r>
              <w:rPr>
                <w:sz w:val="22"/>
              </w:rPr>
              <w:t>EEF Toolkit states that:-</w:t>
            </w:r>
          </w:p>
          <w:p w14:paraId="231CEE86" w14:textId="77777777" w:rsidR="00744E42" w:rsidRDefault="00744E42" w:rsidP="00744E42">
            <w:pPr>
              <w:pStyle w:val="TableRowCentered"/>
              <w:jc w:val="left"/>
              <w:rPr>
                <w:sz w:val="22"/>
              </w:rPr>
            </w:pPr>
            <w:r>
              <w:rPr>
                <w:sz w:val="22"/>
              </w:rPr>
              <w:t>TA interventions can make up to 4 months additional progress</w:t>
            </w:r>
          </w:p>
          <w:p w14:paraId="27F743A1" w14:textId="77777777" w:rsidR="00744E42" w:rsidRDefault="00744E42" w:rsidP="00744E42">
            <w:pPr>
              <w:pStyle w:val="TableRowCentered"/>
              <w:jc w:val="left"/>
              <w:rPr>
                <w:sz w:val="22"/>
              </w:rPr>
            </w:pPr>
            <w:r>
              <w:rPr>
                <w:sz w:val="22"/>
              </w:rPr>
              <w:t>1:1 tuition can lead to an additional 5 months progress.</w:t>
            </w:r>
          </w:p>
          <w:p w14:paraId="53EA2CC3" w14:textId="77777777" w:rsidR="00744E42" w:rsidRDefault="00744E42" w:rsidP="00744E42">
            <w:pPr>
              <w:pStyle w:val="TableRowCentered"/>
              <w:jc w:val="left"/>
              <w:rPr>
                <w:sz w:val="22"/>
              </w:rPr>
            </w:pPr>
            <w:r>
              <w:rPr>
                <w:sz w:val="22"/>
              </w:rPr>
              <w:t>Small group tuition can lead to an additional 4 months progress.</w:t>
            </w:r>
          </w:p>
          <w:p w14:paraId="59C4144C" w14:textId="77777777" w:rsidR="00744E42" w:rsidRDefault="00744E42" w:rsidP="00744E42">
            <w:pPr>
              <w:pStyle w:val="TableRowCentered"/>
              <w:jc w:val="left"/>
              <w:rPr>
                <w:sz w:val="22"/>
              </w:rPr>
            </w:pPr>
            <w:r>
              <w:rPr>
                <w:sz w:val="22"/>
              </w:rPr>
              <w:t>Oral language interventions can lead to up to 6 months additional progress.</w:t>
            </w:r>
          </w:p>
          <w:p w14:paraId="2A7D552E" w14:textId="77777777" w:rsidR="00744E42" w:rsidRDefault="00744E42" w:rsidP="00744E4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7CEA5D3" w:rsidR="00744E42" w:rsidRDefault="0034715D" w:rsidP="00744E42">
            <w:pPr>
              <w:pStyle w:val="TableRowCentered"/>
              <w:jc w:val="left"/>
              <w:rPr>
                <w:sz w:val="22"/>
              </w:rPr>
            </w:pPr>
            <w:r>
              <w:rPr>
                <w:sz w:val="22"/>
              </w:rPr>
              <w:t>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F46D130" w:rsidR="00E66558" w:rsidRDefault="00E86877">
      <w:pPr>
        <w:spacing w:before="240" w:after="120"/>
        <w:rPr>
          <w:i/>
          <w:iCs/>
        </w:rPr>
      </w:pPr>
      <w:r>
        <w:t xml:space="preserve">Budgeted cost: </w:t>
      </w:r>
      <w:r w:rsidR="00FE7E7A">
        <w:rPr>
          <w:i/>
          <w:iCs/>
        </w:rPr>
        <w:t>trips</w:t>
      </w:r>
      <w:r w:rsidR="00ED2922">
        <w:rPr>
          <w:i/>
          <w:iCs/>
        </w:rPr>
        <w:t xml:space="preserve"> </w:t>
      </w:r>
      <w:r w:rsidR="00BD3892">
        <w:rPr>
          <w:i/>
          <w:iCs/>
        </w:rPr>
        <w:t>(£3,150)</w:t>
      </w:r>
      <w:r w:rsidR="00FE7E7A">
        <w:rPr>
          <w:i/>
          <w:iCs/>
        </w:rPr>
        <w:t xml:space="preserve">, TA time </w:t>
      </w:r>
      <w:r>
        <w:rPr>
          <w:i/>
          <w:iCs/>
        </w:rPr>
        <w:t>15</w:t>
      </w:r>
      <w:r w:rsidR="00FB1B9A">
        <w:rPr>
          <w:i/>
          <w:iCs/>
        </w:rPr>
        <w:t xml:space="preserve"> hours per week </w:t>
      </w:r>
      <w:r w:rsidR="009248AF">
        <w:rPr>
          <w:i/>
          <w:iCs/>
        </w:rPr>
        <w:t>(</w:t>
      </w:r>
      <w:r>
        <w:rPr>
          <w:i/>
          <w:iCs/>
        </w:rPr>
        <w:t>£10,200</w:t>
      </w:r>
      <w:r w:rsidR="009248AF">
        <w:rPr>
          <w:i/>
          <w:iCs/>
        </w:rPr>
        <w:t>)</w:t>
      </w:r>
    </w:p>
    <w:p w14:paraId="42A513CE" w14:textId="67F2C5F8" w:rsidR="001C1F10" w:rsidRDefault="00E86877">
      <w:pPr>
        <w:spacing w:before="240" w:after="120"/>
      </w:pPr>
      <w:r>
        <w:rPr>
          <w:i/>
          <w:iCs/>
        </w:rPr>
        <w:t>Total £13,350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44E4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B666203" w:rsidR="00744E42" w:rsidRDefault="00744E42" w:rsidP="00744E42">
            <w:pPr>
              <w:pStyle w:val="TableRow"/>
              <w:ind w:left="0"/>
            </w:pPr>
            <w:r w:rsidRPr="00CF76C8">
              <w:rPr>
                <w:sz w:val="22"/>
              </w:rPr>
              <w:t>Develop Emotional Literacy Support provision across the school</w:t>
            </w:r>
            <w:r>
              <w:rPr>
                <w:sz w:val="22"/>
              </w:rPr>
              <w:t xml:space="preserve"> to enable self-regulation of emotions and behaviour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017A" w14:textId="77777777" w:rsidR="00744E42" w:rsidRDefault="00744E42" w:rsidP="00744E42">
            <w:pPr>
              <w:pStyle w:val="TableRowCentered"/>
              <w:jc w:val="left"/>
              <w:rPr>
                <w:sz w:val="22"/>
              </w:rPr>
            </w:pPr>
            <w:r>
              <w:rPr>
                <w:sz w:val="22"/>
              </w:rPr>
              <w:t>EEF toolkit states that with support for emotional intelligence can make up to an additional 4 months progress</w:t>
            </w:r>
          </w:p>
          <w:p w14:paraId="2A7D5539" w14:textId="0E4E84DE" w:rsidR="00AE4636" w:rsidRDefault="00AE4636" w:rsidP="00744E4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2C9D425" w:rsidR="00744E42" w:rsidRDefault="00FE7E7A" w:rsidP="00744E42">
            <w:pPr>
              <w:pStyle w:val="TableRowCentered"/>
              <w:jc w:val="left"/>
              <w:rPr>
                <w:sz w:val="22"/>
              </w:rPr>
            </w:pPr>
            <w:r>
              <w:rPr>
                <w:sz w:val="22"/>
              </w:rPr>
              <w:t>1</w:t>
            </w:r>
          </w:p>
        </w:tc>
      </w:tr>
      <w:tr w:rsidR="00744E4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E673726" w:rsidR="00744E42" w:rsidRPr="00AE4636" w:rsidRDefault="00AE4636" w:rsidP="00744E42">
            <w:pPr>
              <w:pStyle w:val="TableRow"/>
              <w:rPr>
                <w:sz w:val="22"/>
              </w:rPr>
            </w:pPr>
            <w:r w:rsidRPr="00AE4636">
              <w:rPr>
                <w:sz w:val="22"/>
              </w:rPr>
              <w:t>Pay for all PP children to attend trips and extracurricular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D44F" w14:textId="77777777" w:rsidR="00AE4636" w:rsidRDefault="00AE4636" w:rsidP="00744E42">
            <w:pPr>
              <w:pStyle w:val="TableRowCentered"/>
              <w:jc w:val="left"/>
              <w:rPr>
                <w:sz w:val="22"/>
              </w:rPr>
            </w:pPr>
            <w:r>
              <w:rPr>
                <w:sz w:val="22"/>
              </w:rPr>
              <w:t>EEF toolkit states that pupils can make an additional:</w:t>
            </w:r>
          </w:p>
          <w:p w14:paraId="60A8DADF" w14:textId="7680A462" w:rsidR="00744E42" w:rsidRDefault="00AE4636" w:rsidP="00744E42">
            <w:pPr>
              <w:pStyle w:val="TableRowCentered"/>
              <w:jc w:val="left"/>
              <w:rPr>
                <w:sz w:val="22"/>
              </w:rPr>
            </w:pPr>
            <w:r>
              <w:rPr>
                <w:sz w:val="22"/>
              </w:rPr>
              <w:lastRenderedPageBreak/>
              <w:t>3 months progress if engaged in arts participation</w:t>
            </w:r>
          </w:p>
          <w:p w14:paraId="4D6C25BD" w14:textId="79A9492C" w:rsidR="00AE4636" w:rsidRDefault="00AE4636" w:rsidP="00744E42">
            <w:pPr>
              <w:pStyle w:val="TableRowCentered"/>
              <w:jc w:val="left"/>
              <w:rPr>
                <w:sz w:val="22"/>
              </w:rPr>
            </w:pPr>
            <w:r>
              <w:rPr>
                <w:sz w:val="22"/>
              </w:rPr>
              <w:t xml:space="preserve">1 month </w:t>
            </w:r>
            <w:r w:rsidR="00D67E8C">
              <w:rPr>
                <w:sz w:val="22"/>
              </w:rPr>
              <w:t xml:space="preserve">progress if engaged </w:t>
            </w:r>
            <w:r>
              <w:rPr>
                <w:sz w:val="22"/>
              </w:rPr>
              <w:t xml:space="preserve">sports provision </w:t>
            </w:r>
          </w:p>
          <w:p w14:paraId="2A7D553D" w14:textId="17505CA7" w:rsidR="00AE4636" w:rsidRDefault="00AE4636" w:rsidP="00744E42">
            <w:pPr>
              <w:pStyle w:val="TableRowCentered"/>
              <w:jc w:val="left"/>
              <w:rPr>
                <w:sz w:val="22"/>
              </w:rPr>
            </w:pPr>
            <w:r>
              <w:rPr>
                <w:sz w:val="22"/>
              </w:rPr>
              <w:t xml:space="preserve">5 months </w:t>
            </w:r>
            <w:r w:rsidR="00D67E8C">
              <w:rPr>
                <w:sz w:val="22"/>
              </w:rPr>
              <w:t xml:space="preserve">progress if engaged </w:t>
            </w:r>
            <w:r>
              <w:rPr>
                <w:sz w:val="22"/>
              </w:rPr>
              <w:t>social and emotional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922FE3E" w:rsidR="00744E42" w:rsidRDefault="00BB5814" w:rsidP="00744E42">
            <w:pPr>
              <w:pStyle w:val="TableRowCentered"/>
              <w:jc w:val="left"/>
              <w:rPr>
                <w:sz w:val="22"/>
              </w:rPr>
            </w:pPr>
            <w:r>
              <w:rPr>
                <w:sz w:val="22"/>
              </w:rPr>
              <w:lastRenderedPageBreak/>
              <w:t>1</w:t>
            </w:r>
          </w:p>
        </w:tc>
      </w:tr>
      <w:tr w:rsidR="00FE7E7A" w14:paraId="3233A6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5623" w14:textId="00EC6774" w:rsidR="00FE7E7A" w:rsidRPr="00AE4636" w:rsidRDefault="00FE7E7A" w:rsidP="00FE7E7A">
            <w:pPr>
              <w:pStyle w:val="TableRow"/>
              <w:ind w:left="0"/>
              <w:rPr>
                <w:sz w:val="22"/>
              </w:rPr>
            </w:pPr>
            <w:r>
              <w:rPr>
                <w:sz w:val="22"/>
              </w:rPr>
              <w:t>Further embed relational practice through use of Zones of Regulation and revision of Behaviour and Relationships Policy with EP service.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1513" w14:textId="77777777" w:rsidR="00FE7E7A" w:rsidRDefault="00FE7E7A" w:rsidP="00FE7E7A">
            <w:pPr>
              <w:pStyle w:val="TableRowCentered"/>
              <w:jc w:val="left"/>
              <w:rPr>
                <w:sz w:val="22"/>
              </w:rPr>
            </w:pPr>
            <w:r>
              <w:rPr>
                <w:sz w:val="22"/>
              </w:rPr>
              <w:t>EEF toolkit states that with support for emotional intelligence can make up to an additional 4 months progress</w:t>
            </w:r>
          </w:p>
          <w:p w14:paraId="45E01CA2" w14:textId="77777777" w:rsidR="00FE7E7A" w:rsidRDefault="00FE7E7A" w:rsidP="00744E4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5B3A" w14:textId="31FA6EEF" w:rsidR="00FE7E7A" w:rsidRDefault="00FE7E7A" w:rsidP="00744E42">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65E0B08B" w:rsidR="00E66558" w:rsidRDefault="009D71E8" w:rsidP="00120AB1">
      <w:r>
        <w:rPr>
          <w:b/>
          <w:bCs/>
          <w:color w:val="104F75"/>
          <w:sz w:val="28"/>
          <w:szCs w:val="28"/>
        </w:rPr>
        <w:t xml:space="preserve">Total budgeted cost: </w:t>
      </w:r>
      <w:r w:rsidRPr="0099018C">
        <w:rPr>
          <w:b/>
          <w:bCs/>
          <w:color w:val="auto"/>
          <w:sz w:val="28"/>
          <w:szCs w:val="28"/>
        </w:rPr>
        <w:t>£</w:t>
      </w:r>
      <w:r w:rsidR="00162C53" w:rsidRPr="0099018C">
        <w:rPr>
          <w:b/>
          <w:bCs/>
          <w:color w:val="auto"/>
          <w:sz w:val="28"/>
          <w:szCs w:val="28"/>
        </w:rPr>
        <w:t>2</w:t>
      </w:r>
      <w:r w:rsidR="0099018C" w:rsidRPr="0099018C">
        <w:rPr>
          <w:b/>
          <w:bCs/>
          <w:color w:val="auto"/>
          <w:sz w:val="28"/>
          <w:szCs w:val="28"/>
        </w:rPr>
        <w:t>8,35</w:t>
      </w:r>
      <w:r w:rsidR="00E86877" w:rsidRPr="0099018C">
        <w:rPr>
          <w:b/>
          <w:bCs/>
          <w:color w:val="auto"/>
          <w:sz w:val="28"/>
          <w:szCs w:val="28"/>
        </w:rPr>
        <w:t>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7D9E" w14:textId="2D856593" w:rsidR="00D91F07" w:rsidRDefault="00D91F07">
            <w:pPr>
              <w:spacing w:before="120"/>
            </w:pPr>
            <w:r>
              <w:t xml:space="preserve">Results taken from </w:t>
            </w:r>
            <w:r w:rsidR="00D576DE">
              <w:t xml:space="preserve">statutory assessments (EYFS/Year 2/Year 6) and </w:t>
            </w:r>
            <w:r>
              <w:t>teacher assessment</w:t>
            </w:r>
            <w:r w:rsidR="00D576DE">
              <w:t>s</w:t>
            </w:r>
            <w:r>
              <w:t xml:space="preserve"> at</w:t>
            </w:r>
            <w:r w:rsidR="002C3CD3">
              <w:t xml:space="preserve"> the end of the Summer Term 2023</w:t>
            </w:r>
          </w:p>
          <w:tbl>
            <w:tblPr>
              <w:tblStyle w:val="TableGrid"/>
              <w:tblW w:w="7682" w:type="dxa"/>
              <w:tblLook w:val="04A0" w:firstRow="1" w:lastRow="0" w:firstColumn="1" w:lastColumn="0" w:noHBand="0" w:noVBand="1"/>
            </w:tblPr>
            <w:tblGrid>
              <w:gridCol w:w="1161"/>
              <w:gridCol w:w="1418"/>
              <w:gridCol w:w="1559"/>
              <w:gridCol w:w="1701"/>
              <w:gridCol w:w="1843"/>
            </w:tblGrid>
            <w:tr w:rsidR="00D91F07" w14:paraId="12325ABC" w14:textId="77777777" w:rsidTr="00D91F07">
              <w:tc>
                <w:tcPr>
                  <w:tcW w:w="1161" w:type="dxa"/>
                </w:tcPr>
                <w:p w14:paraId="41B1F261" w14:textId="38D8BB34" w:rsidR="00D91F07" w:rsidRDefault="00D91F07" w:rsidP="00D91F07">
                  <w:r>
                    <w:rPr>
                      <w:rFonts w:asciiTheme="minorHAnsi" w:hAnsiTheme="minorHAnsi" w:cs="Arial"/>
                      <w:sz w:val="20"/>
                      <w:szCs w:val="20"/>
                    </w:rPr>
                    <w:t>Year Group</w:t>
                  </w:r>
                </w:p>
              </w:tc>
              <w:tc>
                <w:tcPr>
                  <w:tcW w:w="1418" w:type="dxa"/>
                </w:tcPr>
                <w:p w14:paraId="3B0F4A41" w14:textId="77777777" w:rsidR="00D91F07" w:rsidRDefault="00D91F07" w:rsidP="00D91F07">
                  <w:pPr>
                    <w:rPr>
                      <w:rFonts w:asciiTheme="minorHAnsi" w:hAnsiTheme="minorHAnsi" w:cs="Arial"/>
                      <w:sz w:val="20"/>
                      <w:szCs w:val="20"/>
                    </w:rPr>
                  </w:pPr>
                  <w:r>
                    <w:rPr>
                      <w:rFonts w:asciiTheme="minorHAnsi" w:hAnsiTheme="minorHAnsi" w:cs="Arial"/>
                      <w:sz w:val="20"/>
                      <w:szCs w:val="20"/>
                    </w:rPr>
                    <w:t xml:space="preserve">No. of pupils </w:t>
                  </w:r>
                </w:p>
                <w:p w14:paraId="62AC5445" w14:textId="7817907F" w:rsidR="00D91F07" w:rsidRDefault="00D91F07" w:rsidP="00D91F07">
                  <w:r>
                    <w:rPr>
                      <w:rFonts w:asciiTheme="minorHAnsi" w:hAnsiTheme="minorHAnsi" w:cs="Arial"/>
                      <w:sz w:val="20"/>
                      <w:szCs w:val="20"/>
                    </w:rPr>
                    <w:t>PPG/LAC/Post LAC</w:t>
                  </w:r>
                </w:p>
              </w:tc>
              <w:tc>
                <w:tcPr>
                  <w:tcW w:w="1559" w:type="dxa"/>
                </w:tcPr>
                <w:p w14:paraId="78CEC2EA" w14:textId="65177A00" w:rsidR="00D91F07" w:rsidRPr="001C1F10" w:rsidRDefault="001C1F10" w:rsidP="001C1F10">
                  <w:pPr>
                    <w:rPr>
                      <w:color w:val="auto"/>
                    </w:rPr>
                  </w:pPr>
                  <w:r>
                    <w:rPr>
                      <w:rFonts w:asciiTheme="minorHAnsi" w:hAnsiTheme="minorHAnsi" w:cs="Arial"/>
                      <w:color w:val="auto"/>
                      <w:sz w:val="20"/>
                      <w:szCs w:val="20"/>
                    </w:rPr>
                    <w:t>R</w:t>
                  </w:r>
                  <w:r w:rsidRPr="001C1F10">
                    <w:rPr>
                      <w:rFonts w:asciiTheme="minorHAnsi" w:hAnsiTheme="minorHAnsi" w:cs="Arial"/>
                      <w:color w:val="auto"/>
                      <w:sz w:val="20"/>
                      <w:szCs w:val="20"/>
                    </w:rPr>
                    <w:t xml:space="preserve">eading </w:t>
                  </w:r>
                  <w:r w:rsidR="00D91F07" w:rsidRPr="001C1F10">
                    <w:rPr>
                      <w:rFonts w:asciiTheme="minorHAnsi" w:hAnsiTheme="minorHAnsi" w:cs="Arial"/>
                      <w:color w:val="auto"/>
                      <w:sz w:val="20"/>
                      <w:szCs w:val="20"/>
                    </w:rPr>
                    <w:t>Per</w:t>
                  </w:r>
                  <w:r w:rsidR="00F702FF">
                    <w:rPr>
                      <w:rFonts w:asciiTheme="minorHAnsi" w:hAnsiTheme="minorHAnsi" w:cs="Arial"/>
                      <w:color w:val="auto"/>
                      <w:sz w:val="20"/>
                      <w:szCs w:val="20"/>
                    </w:rPr>
                    <w:t>centage at or exceeding ARE</w:t>
                  </w:r>
                </w:p>
              </w:tc>
              <w:tc>
                <w:tcPr>
                  <w:tcW w:w="1701" w:type="dxa"/>
                </w:tcPr>
                <w:p w14:paraId="730E7CEC" w14:textId="7B730B6A" w:rsidR="00D91F07" w:rsidRPr="001C1F10" w:rsidRDefault="001C1F10" w:rsidP="001C1F10">
                  <w:pPr>
                    <w:rPr>
                      <w:color w:val="auto"/>
                    </w:rPr>
                  </w:pPr>
                  <w:r>
                    <w:rPr>
                      <w:rFonts w:asciiTheme="minorHAnsi" w:hAnsiTheme="minorHAnsi" w:cs="Arial"/>
                      <w:color w:val="auto"/>
                      <w:sz w:val="20"/>
                      <w:szCs w:val="20"/>
                    </w:rPr>
                    <w:t>W</w:t>
                  </w:r>
                  <w:r w:rsidRPr="001C1F10">
                    <w:rPr>
                      <w:rFonts w:asciiTheme="minorHAnsi" w:hAnsiTheme="minorHAnsi" w:cs="Arial"/>
                      <w:color w:val="auto"/>
                      <w:sz w:val="20"/>
                      <w:szCs w:val="20"/>
                    </w:rPr>
                    <w:t xml:space="preserve">riting </w:t>
                  </w:r>
                  <w:r w:rsidR="00D91F07" w:rsidRPr="001C1F10">
                    <w:rPr>
                      <w:rFonts w:asciiTheme="minorHAnsi" w:hAnsiTheme="minorHAnsi" w:cs="Arial"/>
                      <w:color w:val="auto"/>
                      <w:sz w:val="20"/>
                      <w:szCs w:val="20"/>
                    </w:rPr>
                    <w:t xml:space="preserve">Percentage at </w:t>
                  </w:r>
                  <w:r w:rsidR="00F702FF">
                    <w:rPr>
                      <w:rFonts w:asciiTheme="minorHAnsi" w:hAnsiTheme="minorHAnsi" w:cs="Arial"/>
                      <w:color w:val="auto"/>
                      <w:sz w:val="20"/>
                      <w:szCs w:val="20"/>
                    </w:rPr>
                    <w:t>or exceeding ARE</w:t>
                  </w:r>
                  <w:r w:rsidR="00D91F07" w:rsidRPr="001C1F10">
                    <w:rPr>
                      <w:rFonts w:asciiTheme="minorHAnsi" w:hAnsiTheme="minorHAnsi" w:cs="Arial"/>
                      <w:color w:val="auto"/>
                      <w:sz w:val="20"/>
                      <w:szCs w:val="20"/>
                    </w:rPr>
                    <w:t xml:space="preserve"> </w:t>
                  </w:r>
                </w:p>
              </w:tc>
              <w:tc>
                <w:tcPr>
                  <w:tcW w:w="1843" w:type="dxa"/>
                </w:tcPr>
                <w:p w14:paraId="23660DE2" w14:textId="79F3BAB3" w:rsidR="001C1F10" w:rsidRDefault="001C1F10" w:rsidP="001C1F10">
                  <w:pPr>
                    <w:spacing w:after="0"/>
                    <w:rPr>
                      <w:rFonts w:asciiTheme="minorHAnsi" w:hAnsiTheme="minorHAnsi" w:cs="Arial"/>
                      <w:color w:val="auto"/>
                      <w:sz w:val="20"/>
                      <w:szCs w:val="20"/>
                    </w:rPr>
                  </w:pPr>
                  <w:r>
                    <w:rPr>
                      <w:rFonts w:asciiTheme="minorHAnsi" w:hAnsiTheme="minorHAnsi" w:cs="Arial"/>
                      <w:color w:val="auto"/>
                      <w:sz w:val="20"/>
                      <w:szCs w:val="20"/>
                    </w:rPr>
                    <w:t>M</w:t>
                  </w:r>
                  <w:r w:rsidRPr="001C1F10">
                    <w:rPr>
                      <w:rFonts w:asciiTheme="minorHAnsi" w:hAnsiTheme="minorHAnsi" w:cs="Arial"/>
                      <w:color w:val="auto"/>
                      <w:sz w:val="20"/>
                      <w:szCs w:val="20"/>
                    </w:rPr>
                    <w:t xml:space="preserve">aths </w:t>
                  </w:r>
                </w:p>
                <w:p w14:paraId="627B48BC" w14:textId="63C8BF99" w:rsidR="00D91F07" w:rsidRPr="001C1F10" w:rsidRDefault="00D91F07" w:rsidP="00F702FF">
                  <w:pPr>
                    <w:spacing w:after="0"/>
                    <w:rPr>
                      <w:rFonts w:asciiTheme="minorHAnsi" w:hAnsiTheme="minorHAnsi" w:cs="Arial"/>
                      <w:color w:val="auto"/>
                      <w:sz w:val="20"/>
                      <w:szCs w:val="20"/>
                    </w:rPr>
                  </w:pPr>
                  <w:r w:rsidRPr="001C1F10">
                    <w:rPr>
                      <w:rFonts w:asciiTheme="minorHAnsi" w:hAnsiTheme="minorHAnsi" w:cs="Arial"/>
                      <w:color w:val="auto"/>
                      <w:sz w:val="20"/>
                      <w:szCs w:val="20"/>
                    </w:rPr>
                    <w:t xml:space="preserve">Percentage at or exceeding ARE </w:t>
                  </w:r>
                </w:p>
              </w:tc>
            </w:tr>
            <w:tr w:rsidR="00D91F07" w14:paraId="46301D24" w14:textId="77777777" w:rsidTr="00D91F07">
              <w:tc>
                <w:tcPr>
                  <w:tcW w:w="1161" w:type="dxa"/>
                </w:tcPr>
                <w:p w14:paraId="44588B15" w14:textId="2C52E654" w:rsidR="00D91F07" w:rsidRDefault="00D91F07" w:rsidP="00D91F07">
                  <w:r>
                    <w:rPr>
                      <w:rFonts w:asciiTheme="minorHAnsi" w:hAnsiTheme="minorHAnsi" w:cs="Arial"/>
                      <w:sz w:val="20"/>
                      <w:szCs w:val="20"/>
                    </w:rPr>
                    <w:t>R</w:t>
                  </w:r>
                </w:p>
              </w:tc>
              <w:tc>
                <w:tcPr>
                  <w:tcW w:w="1418" w:type="dxa"/>
                </w:tcPr>
                <w:p w14:paraId="13DC7076" w14:textId="2CA5CD80" w:rsidR="00D91F07" w:rsidRPr="00D576DE" w:rsidRDefault="002C3CD3" w:rsidP="00D91F07">
                  <w:pPr>
                    <w:rPr>
                      <w:rFonts w:asciiTheme="minorHAnsi" w:hAnsiTheme="minorHAnsi" w:cstheme="minorHAnsi"/>
                      <w:sz w:val="20"/>
                    </w:rPr>
                  </w:pPr>
                  <w:r>
                    <w:rPr>
                      <w:rFonts w:asciiTheme="minorHAnsi" w:hAnsiTheme="minorHAnsi" w:cstheme="minorHAnsi"/>
                      <w:sz w:val="20"/>
                    </w:rPr>
                    <w:t>1</w:t>
                  </w:r>
                </w:p>
              </w:tc>
              <w:tc>
                <w:tcPr>
                  <w:tcW w:w="1559" w:type="dxa"/>
                </w:tcPr>
                <w:p w14:paraId="7FF6FBB3" w14:textId="5E227FBE" w:rsidR="00D91F07" w:rsidRPr="00D576DE" w:rsidRDefault="002C3CD3" w:rsidP="00D91F07">
                  <w:pPr>
                    <w:rPr>
                      <w:rFonts w:asciiTheme="minorHAnsi" w:hAnsiTheme="minorHAnsi" w:cstheme="minorHAnsi"/>
                      <w:sz w:val="20"/>
                    </w:rPr>
                  </w:pPr>
                  <w:r>
                    <w:rPr>
                      <w:rFonts w:asciiTheme="minorHAnsi" w:hAnsiTheme="minorHAnsi" w:cstheme="minorHAnsi"/>
                      <w:sz w:val="20"/>
                    </w:rPr>
                    <w:t>100</w:t>
                  </w:r>
                </w:p>
              </w:tc>
              <w:tc>
                <w:tcPr>
                  <w:tcW w:w="1701" w:type="dxa"/>
                </w:tcPr>
                <w:p w14:paraId="02A41EE3" w14:textId="1B3F559B" w:rsidR="00D91F07" w:rsidRPr="00D576DE" w:rsidRDefault="002C3CD3" w:rsidP="00D91F07">
                  <w:pPr>
                    <w:rPr>
                      <w:rFonts w:asciiTheme="minorHAnsi" w:hAnsiTheme="minorHAnsi" w:cstheme="minorHAnsi"/>
                      <w:sz w:val="20"/>
                    </w:rPr>
                  </w:pPr>
                  <w:r>
                    <w:rPr>
                      <w:rFonts w:asciiTheme="minorHAnsi" w:hAnsiTheme="minorHAnsi" w:cstheme="minorHAnsi"/>
                      <w:sz w:val="20"/>
                    </w:rPr>
                    <w:t>100</w:t>
                  </w:r>
                </w:p>
              </w:tc>
              <w:tc>
                <w:tcPr>
                  <w:tcW w:w="1843" w:type="dxa"/>
                </w:tcPr>
                <w:p w14:paraId="4D7E1446" w14:textId="17956147" w:rsidR="00D91F07" w:rsidRPr="00D576DE" w:rsidRDefault="002C3CD3" w:rsidP="00D91F07">
                  <w:pPr>
                    <w:rPr>
                      <w:rFonts w:asciiTheme="minorHAnsi" w:hAnsiTheme="minorHAnsi" w:cstheme="minorHAnsi"/>
                      <w:sz w:val="20"/>
                    </w:rPr>
                  </w:pPr>
                  <w:r>
                    <w:rPr>
                      <w:rFonts w:asciiTheme="minorHAnsi" w:hAnsiTheme="minorHAnsi" w:cstheme="minorHAnsi"/>
                      <w:sz w:val="20"/>
                    </w:rPr>
                    <w:t>100</w:t>
                  </w:r>
                </w:p>
              </w:tc>
            </w:tr>
            <w:tr w:rsidR="00162C53" w14:paraId="2D10E667" w14:textId="77777777" w:rsidTr="00D91F07">
              <w:tc>
                <w:tcPr>
                  <w:tcW w:w="1161" w:type="dxa"/>
                </w:tcPr>
                <w:p w14:paraId="5D6B1789" w14:textId="552A573D" w:rsidR="00162C53" w:rsidRDefault="00162C53" w:rsidP="00162C53">
                  <w:r>
                    <w:rPr>
                      <w:rFonts w:asciiTheme="minorHAnsi" w:hAnsiTheme="minorHAnsi" w:cs="Arial"/>
                      <w:sz w:val="20"/>
                      <w:szCs w:val="20"/>
                    </w:rPr>
                    <w:t>1</w:t>
                  </w:r>
                </w:p>
              </w:tc>
              <w:tc>
                <w:tcPr>
                  <w:tcW w:w="1418" w:type="dxa"/>
                </w:tcPr>
                <w:p w14:paraId="7072DE06" w14:textId="2FE4F4DE" w:rsidR="00162C53" w:rsidRPr="00D576DE" w:rsidRDefault="00162C53" w:rsidP="00162C53">
                  <w:pPr>
                    <w:rPr>
                      <w:rFonts w:asciiTheme="minorHAnsi" w:hAnsiTheme="minorHAnsi" w:cstheme="minorHAnsi"/>
                      <w:sz w:val="20"/>
                    </w:rPr>
                  </w:pPr>
                  <w:r>
                    <w:rPr>
                      <w:rFonts w:asciiTheme="minorHAnsi" w:hAnsiTheme="minorHAnsi" w:cstheme="minorHAnsi"/>
                      <w:sz w:val="20"/>
                    </w:rPr>
                    <w:t>1</w:t>
                  </w:r>
                </w:p>
              </w:tc>
              <w:tc>
                <w:tcPr>
                  <w:tcW w:w="1559" w:type="dxa"/>
                </w:tcPr>
                <w:p w14:paraId="2A2D4BDA" w14:textId="7F787E9D" w:rsidR="00162C53" w:rsidRPr="00D576DE" w:rsidRDefault="002C3CD3" w:rsidP="00162C53">
                  <w:pPr>
                    <w:rPr>
                      <w:rFonts w:asciiTheme="minorHAnsi" w:hAnsiTheme="minorHAnsi" w:cstheme="minorHAnsi"/>
                      <w:sz w:val="20"/>
                    </w:rPr>
                  </w:pPr>
                  <w:r>
                    <w:rPr>
                      <w:rFonts w:asciiTheme="minorHAnsi" w:hAnsiTheme="minorHAnsi" w:cstheme="minorHAnsi"/>
                      <w:sz w:val="20"/>
                    </w:rPr>
                    <w:t>100</w:t>
                  </w:r>
                </w:p>
              </w:tc>
              <w:tc>
                <w:tcPr>
                  <w:tcW w:w="1701" w:type="dxa"/>
                </w:tcPr>
                <w:p w14:paraId="3D7BD1A0" w14:textId="2CB7D8FF" w:rsidR="00162C53" w:rsidRPr="00D576DE" w:rsidRDefault="002C3CD3" w:rsidP="00162C53">
                  <w:pPr>
                    <w:rPr>
                      <w:rFonts w:asciiTheme="minorHAnsi" w:hAnsiTheme="minorHAnsi" w:cstheme="minorHAnsi"/>
                      <w:sz w:val="20"/>
                    </w:rPr>
                  </w:pPr>
                  <w:r>
                    <w:rPr>
                      <w:rFonts w:asciiTheme="minorHAnsi" w:hAnsiTheme="minorHAnsi" w:cstheme="minorHAnsi"/>
                      <w:sz w:val="20"/>
                    </w:rPr>
                    <w:t>100</w:t>
                  </w:r>
                </w:p>
              </w:tc>
              <w:tc>
                <w:tcPr>
                  <w:tcW w:w="1843" w:type="dxa"/>
                </w:tcPr>
                <w:p w14:paraId="481C536E" w14:textId="4C00A383" w:rsidR="00162C53" w:rsidRPr="00D576DE" w:rsidRDefault="002C3CD3" w:rsidP="00162C53">
                  <w:pPr>
                    <w:rPr>
                      <w:rFonts w:asciiTheme="minorHAnsi" w:hAnsiTheme="minorHAnsi" w:cstheme="minorHAnsi"/>
                      <w:sz w:val="20"/>
                    </w:rPr>
                  </w:pPr>
                  <w:r>
                    <w:rPr>
                      <w:rFonts w:asciiTheme="minorHAnsi" w:hAnsiTheme="minorHAnsi" w:cstheme="minorHAnsi"/>
                      <w:sz w:val="20"/>
                    </w:rPr>
                    <w:t>100</w:t>
                  </w:r>
                </w:p>
              </w:tc>
            </w:tr>
            <w:tr w:rsidR="00162C53" w14:paraId="6CA78382" w14:textId="77777777" w:rsidTr="00D91F07">
              <w:tc>
                <w:tcPr>
                  <w:tcW w:w="1161" w:type="dxa"/>
                </w:tcPr>
                <w:p w14:paraId="383A4A98" w14:textId="3FB8C0DA" w:rsidR="00162C53" w:rsidRDefault="00162C53" w:rsidP="00162C53">
                  <w:r>
                    <w:rPr>
                      <w:rFonts w:asciiTheme="minorHAnsi" w:hAnsiTheme="minorHAnsi" w:cs="Arial"/>
                      <w:sz w:val="20"/>
                      <w:szCs w:val="20"/>
                    </w:rPr>
                    <w:t>2</w:t>
                  </w:r>
                </w:p>
              </w:tc>
              <w:tc>
                <w:tcPr>
                  <w:tcW w:w="1418" w:type="dxa"/>
                </w:tcPr>
                <w:p w14:paraId="2F4C8516" w14:textId="77FBA141" w:rsidR="00162C53" w:rsidRPr="00D576DE" w:rsidRDefault="002C3CD3" w:rsidP="00162C53">
                  <w:pPr>
                    <w:rPr>
                      <w:rFonts w:asciiTheme="minorHAnsi" w:hAnsiTheme="minorHAnsi" w:cstheme="minorHAnsi"/>
                      <w:sz w:val="20"/>
                    </w:rPr>
                  </w:pPr>
                  <w:r>
                    <w:rPr>
                      <w:rFonts w:asciiTheme="minorHAnsi" w:hAnsiTheme="minorHAnsi" w:cstheme="minorHAnsi"/>
                      <w:sz w:val="20"/>
                    </w:rPr>
                    <w:t>3</w:t>
                  </w:r>
                </w:p>
              </w:tc>
              <w:tc>
                <w:tcPr>
                  <w:tcW w:w="1559" w:type="dxa"/>
                </w:tcPr>
                <w:p w14:paraId="6BAEB685" w14:textId="7CAE66E5" w:rsidR="00162C53" w:rsidRPr="00D576DE" w:rsidRDefault="002C3CD3" w:rsidP="00162C53">
                  <w:pPr>
                    <w:rPr>
                      <w:rFonts w:asciiTheme="minorHAnsi" w:hAnsiTheme="minorHAnsi" w:cstheme="minorHAnsi"/>
                      <w:sz w:val="20"/>
                    </w:rPr>
                  </w:pPr>
                  <w:r>
                    <w:rPr>
                      <w:rFonts w:asciiTheme="minorHAnsi" w:hAnsiTheme="minorHAnsi" w:cstheme="minorHAnsi"/>
                      <w:sz w:val="20"/>
                    </w:rPr>
                    <w:t>33</w:t>
                  </w:r>
                </w:p>
              </w:tc>
              <w:tc>
                <w:tcPr>
                  <w:tcW w:w="1701" w:type="dxa"/>
                </w:tcPr>
                <w:p w14:paraId="1E081A61" w14:textId="15A813B1" w:rsidR="00162C53" w:rsidRPr="00D576DE" w:rsidRDefault="002C3CD3" w:rsidP="00162C53">
                  <w:pPr>
                    <w:rPr>
                      <w:rFonts w:asciiTheme="minorHAnsi" w:hAnsiTheme="minorHAnsi" w:cstheme="minorHAnsi"/>
                      <w:sz w:val="20"/>
                    </w:rPr>
                  </w:pPr>
                  <w:r>
                    <w:rPr>
                      <w:rFonts w:asciiTheme="minorHAnsi" w:hAnsiTheme="minorHAnsi" w:cstheme="minorHAnsi"/>
                      <w:sz w:val="20"/>
                    </w:rPr>
                    <w:t>33</w:t>
                  </w:r>
                </w:p>
              </w:tc>
              <w:tc>
                <w:tcPr>
                  <w:tcW w:w="1843" w:type="dxa"/>
                </w:tcPr>
                <w:p w14:paraId="104036D0" w14:textId="6CF2C343" w:rsidR="00162C53" w:rsidRPr="00D576DE" w:rsidRDefault="002C3CD3" w:rsidP="00162C53">
                  <w:pPr>
                    <w:rPr>
                      <w:rFonts w:asciiTheme="minorHAnsi" w:hAnsiTheme="minorHAnsi" w:cstheme="minorHAnsi"/>
                      <w:sz w:val="20"/>
                    </w:rPr>
                  </w:pPr>
                  <w:r>
                    <w:rPr>
                      <w:rFonts w:asciiTheme="minorHAnsi" w:hAnsiTheme="minorHAnsi" w:cstheme="minorHAnsi"/>
                      <w:sz w:val="20"/>
                    </w:rPr>
                    <w:t>67</w:t>
                  </w:r>
                </w:p>
              </w:tc>
            </w:tr>
            <w:tr w:rsidR="00162C53" w14:paraId="3ABD3BE5" w14:textId="77777777" w:rsidTr="00D91F07">
              <w:tc>
                <w:tcPr>
                  <w:tcW w:w="1161" w:type="dxa"/>
                </w:tcPr>
                <w:p w14:paraId="2DBA29FF" w14:textId="6B0751B9" w:rsidR="00162C53" w:rsidRDefault="00162C53" w:rsidP="00162C53">
                  <w:r>
                    <w:rPr>
                      <w:rFonts w:asciiTheme="minorHAnsi" w:hAnsiTheme="minorHAnsi" w:cs="Arial"/>
                      <w:sz w:val="20"/>
                      <w:szCs w:val="20"/>
                    </w:rPr>
                    <w:t>3</w:t>
                  </w:r>
                </w:p>
              </w:tc>
              <w:tc>
                <w:tcPr>
                  <w:tcW w:w="1418" w:type="dxa"/>
                </w:tcPr>
                <w:p w14:paraId="59E9F4CD" w14:textId="3456BA54" w:rsidR="00162C53" w:rsidRPr="00D576DE" w:rsidRDefault="00162C53" w:rsidP="00162C53">
                  <w:pPr>
                    <w:rPr>
                      <w:rFonts w:asciiTheme="minorHAnsi" w:hAnsiTheme="minorHAnsi" w:cstheme="minorHAnsi"/>
                      <w:sz w:val="20"/>
                    </w:rPr>
                  </w:pPr>
                  <w:r>
                    <w:rPr>
                      <w:rFonts w:asciiTheme="minorHAnsi" w:hAnsiTheme="minorHAnsi" w:cstheme="minorHAnsi"/>
                      <w:sz w:val="20"/>
                    </w:rPr>
                    <w:t>4</w:t>
                  </w:r>
                </w:p>
              </w:tc>
              <w:tc>
                <w:tcPr>
                  <w:tcW w:w="1559" w:type="dxa"/>
                </w:tcPr>
                <w:p w14:paraId="3F39ABA5" w14:textId="27CD8E5F" w:rsidR="00162C53" w:rsidRPr="00D576DE" w:rsidRDefault="002C3CD3" w:rsidP="00162C53">
                  <w:pPr>
                    <w:rPr>
                      <w:rFonts w:asciiTheme="minorHAnsi" w:hAnsiTheme="minorHAnsi" w:cstheme="minorHAnsi"/>
                      <w:sz w:val="20"/>
                    </w:rPr>
                  </w:pPr>
                  <w:r>
                    <w:rPr>
                      <w:rFonts w:asciiTheme="minorHAnsi" w:hAnsiTheme="minorHAnsi" w:cstheme="minorHAnsi"/>
                      <w:sz w:val="20"/>
                    </w:rPr>
                    <w:t>75</w:t>
                  </w:r>
                </w:p>
              </w:tc>
              <w:tc>
                <w:tcPr>
                  <w:tcW w:w="1701" w:type="dxa"/>
                </w:tcPr>
                <w:p w14:paraId="0F588847" w14:textId="0BED26A5" w:rsidR="00162C53" w:rsidRPr="00D576DE" w:rsidRDefault="002C3CD3" w:rsidP="00162C53">
                  <w:pPr>
                    <w:rPr>
                      <w:rFonts w:asciiTheme="minorHAnsi" w:hAnsiTheme="minorHAnsi" w:cstheme="minorHAnsi"/>
                      <w:sz w:val="20"/>
                    </w:rPr>
                  </w:pPr>
                  <w:r>
                    <w:rPr>
                      <w:rFonts w:asciiTheme="minorHAnsi" w:hAnsiTheme="minorHAnsi" w:cstheme="minorHAnsi"/>
                      <w:sz w:val="20"/>
                    </w:rPr>
                    <w:t>75</w:t>
                  </w:r>
                </w:p>
              </w:tc>
              <w:tc>
                <w:tcPr>
                  <w:tcW w:w="1843" w:type="dxa"/>
                </w:tcPr>
                <w:p w14:paraId="556634E4" w14:textId="6256871B" w:rsidR="00162C53" w:rsidRPr="00D576DE" w:rsidRDefault="002C3CD3" w:rsidP="00162C53">
                  <w:pPr>
                    <w:rPr>
                      <w:rFonts w:asciiTheme="minorHAnsi" w:hAnsiTheme="minorHAnsi" w:cstheme="minorHAnsi"/>
                      <w:sz w:val="20"/>
                    </w:rPr>
                  </w:pPr>
                  <w:r>
                    <w:rPr>
                      <w:rFonts w:asciiTheme="minorHAnsi" w:hAnsiTheme="minorHAnsi" w:cstheme="minorHAnsi"/>
                      <w:sz w:val="20"/>
                    </w:rPr>
                    <w:t>75</w:t>
                  </w:r>
                </w:p>
              </w:tc>
            </w:tr>
            <w:tr w:rsidR="00162C53" w14:paraId="00A71AE3" w14:textId="77777777" w:rsidTr="00D91F07">
              <w:tc>
                <w:tcPr>
                  <w:tcW w:w="1161" w:type="dxa"/>
                </w:tcPr>
                <w:p w14:paraId="504DA2A5" w14:textId="600C5CCB" w:rsidR="00162C53" w:rsidRDefault="00162C53" w:rsidP="00162C53">
                  <w:r>
                    <w:rPr>
                      <w:rFonts w:asciiTheme="minorHAnsi" w:hAnsiTheme="minorHAnsi" w:cs="Arial"/>
                      <w:sz w:val="20"/>
                      <w:szCs w:val="20"/>
                    </w:rPr>
                    <w:t>4</w:t>
                  </w:r>
                </w:p>
              </w:tc>
              <w:tc>
                <w:tcPr>
                  <w:tcW w:w="1418" w:type="dxa"/>
                </w:tcPr>
                <w:p w14:paraId="4D658528" w14:textId="1E6DD9BA" w:rsidR="00162C53" w:rsidRPr="00D576DE" w:rsidRDefault="00162C53" w:rsidP="00162C53">
                  <w:pPr>
                    <w:rPr>
                      <w:rFonts w:asciiTheme="minorHAnsi" w:hAnsiTheme="minorHAnsi" w:cstheme="minorHAnsi"/>
                      <w:sz w:val="20"/>
                    </w:rPr>
                  </w:pPr>
                  <w:r>
                    <w:rPr>
                      <w:rFonts w:asciiTheme="minorHAnsi" w:hAnsiTheme="minorHAnsi" w:cstheme="minorHAnsi"/>
                      <w:sz w:val="20"/>
                    </w:rPr>
                    <w:t>8</w:t>
                  </w:r>
                </w:p>
              </w:tc>
              <w:tc>
                <w:tcPr>
                  <w:tcW w:w="1559" w:type="dxa"/>
                </w:tcPr>
                <w:p w14:paraId="4677EBC6" w14:textId="576DA30B" w:rsidR="00162C53" w:rsidRPr="00D576DE" w:rsidRDefault="00034D28" w:rsidP="00162C53">
                  <w:pPr>
                    <w:rPr>
                      <w:rFonts w:asciiTheme="minorHAnsi" w:hAnsiTheme="minorHAnsi" w:cstheme="minorHAnsi"/>
                      <w:sz w:val="20"/>
                    </w:rPr>
                  </w:pPr>
                  <w:r>
                    <w:rPr>
                      <w:rFonts w:asciiTheme="minorHAnsi" w:hAnsiTheme="minorHAnsi" w:cstheme="minorHAnsi"/>
                      <w:sz w:val="20"/>
                    </w:rPr>
                    <w:t>50</w:t>
                  </w:r>
                </w:p>
              </w:tc>
              <w:tc>
                <w:tcPr>
                  <w:tcW w:w="1701" w:type="dxa"/>
                </w:tcPr>
                <w:p w14:paraId="6BB9C055" w14:textId="1FB8A74A" w:rsidR="00162C53" w:rsidRPr="00D576DE" w:rsidRDefault="00034D28" w:rsidP="00162C53">
                  <w:pPr>
                    <w:rPr>
                      <w:rFonts w:asciiTheme="minorHAnsi" w:hAnsiTheme="minorHAnsi" w:cstheme="minorHAnsi"/>
                      <w:sz w:val="20"/>
                    </w:rPr>
                  </w:pPr>
                  <w:r>
                    <w:rPr>
                      <w:rFonts w:asciiTheme="minorHAnsi" w:hAnsiTheme="minorHAnsi" w:cstheme="minorHAnsi"/>
                      <w:sz w:val="20"/>
                    </w:rPr>
                    <w:t>50</w:t>
                  </w:r>
                </w:p>
              </w:tc>
              <w:tc>
                <w:tcPr>
                  <w:tcW w:w="1843" w:type="dxa"/>
                </w:tcPr>
                <w:p w14:paraId="7812423F" w14:textId="0B7695C2" w:rsidR="00162C53" w:rsidRPr="00D576DE" w:rsidRDefault="00034D28" w:rsidP="00162C53">
                  <w:pPr>
                    <w:rPr>
                      <w:rFonts w:asciiTheme="minorHAnsi" w:hAnsiTheme="minorHAnsi" w:cstheme="minorHAnsi"/>
                      <w:sz w:val="20"/>
                    </w:rPr>
                  </w:pPr>
                  <w:r>
                    <w:rPr>
                      <w:rFonts w:asciiTheme="minorHAnsi" w:hAnsiTheme="minorHAnsi" w:cstheme="minorHAnsi"/>
                      <w:sz w:val="20"/>
                    </w:rPr>
                    <w:t>50</w:t>
                  </w:r>
                </w:p>
              </w:tc>
            </w:tr>
            <w:tr w:rsidR="00162C53" w14:paraId="0EDA76BC" w14:textId="77777777" w:rsidTr="00D91F07">
              <w:tc>
                <w:tcPr>
                  <w:tcW w:w="1161" w:type="dxa"/>
                </w:tcPr>
                <w:p w14:paraId="328D74CB" w14:textId="15EA1FF3" w:rsidR="00162C53" w:rsidRDefault="00162C53" w:rsidP="00162C53">
                  <w:r>
                    <w:rPr>
                      <w:rFonts w:asciiTheme="minorHAnsi" w:hAnsiTheme="minorHAnsi" w:cs="Arial"/>
                      <w:sz w:val="20"/>
                      <w:szCs w:val="20"/>
                    </w:rPr>
                    <w:t>5</w:t>
                  </w:r>
                </w:p>
              </w:tc>
              <w:tc>
                <w:tcPr>
                  <w:tcW w:w="1418" w:type="dxa"/>
                </w:tcPr>
                <w:p w14:paraId="77C65FC4" w14:textId="2EE7BA68" w:rsidR="00162C53" w:rsidRPr="00D576DE" w:rsidRDefault="002C3CD3" w:rsidP="00162C53">
                  <w:pPr>
                    <w:rPr>
                      <w:rFonts w:asciiTheme="minorHAnsi" w:hAnsiTheme="minorHAnsi" w:cstheme="minorHAnsi"/>
                      <w:sz w:val="20"/>
                    </w:rPr>
                  </w:pPr>
                  <w:r>
                    <w:rPr>
                      <w:rFonts w:asciiTheme="minorHAnsi" w:hAnsiTheme="minorHAnsi" w:cstheme="minorHAnsi"/>
                      <w:sz w:val="20"/>
                    </w:rPr>
                    <w:t>7</w:t>
                  </w:r>
                </w:p>
              </w:tc>
              <w:tc>
                <w:tcPr>
                  <w:tcW w:w="1559" w:type="dxa"/>
                </w:tcPr>
                <w:p w14:paraId="0485C35C" w14:textId="216046C0" w:rsidR="00162C53" w:rsidRPr="00D576DE" w:rsidRDefault="00034D28" w:rsidP="00162C53">
                  <w:pPr>
                    <w:rPr>
                      <w:rFonts w:asciiTheme="minorHAnsi" w:hAnsiTheme="minorHAnsi" w:cstheme="minorHAnsi"/>
                      <w:sz w:val="20"/>
                    </w:rPr>
                  </w:pPr>
                  <w:r>
                    <w:rPr>
                      <w:rFonts w:asciiTheme="minorHAnsi" w:hAnsiTheme="minorHAnsi" w:cstheme="minorHAnsi"/>
                      <w:sz w:val="20"/>
                    </w:rPr>
                    <w:t>86</w:t>
                  </w:r>
                </w:p>
              </w:tc>
              <w:tc>
                <w:tcPr>
                  <w:tcW w:w="1701" w:type="dxa"/>
                </w:tcPr>
                <w:p w14:paraId="608BF9C4" w14:textId="6DD9D5E4" w:rsidR="00162C53" w:rsidRPr="00D576DE" w:rsidRDefault="00034D28" w:rsidP="00162C53">
                  <w:pPr>
                    <w:rPr>
                      <w:rFonts w:asciiTheme="minorHAnsi" w:hAnsiTheme="minorHAnsi" w:cstheme="minorHAnsi"/>
                      <w:sz w:val="20"/>
                    </w:rPr>
                  </w:pPr>
                  <w:r>
                    <w:rPr>
                      <w:rFonts w:asciiTheme="minorHAnsi" w:hAnsiTheme="minorHAnsi" w:cstheme="minorHAnsi"/>
                      <w:sz w:val="20"/>
                    </w:rPr>
                    <w:t>71</w:t>
                  </w:r>
                </w:p>
              </w:tc>
              <w:tc>
                <w:tcPr>
                  <w:tcW w:w="1843" w:type="dxa"/>
                </w:tcPr>
                <w:p w14:paraId="2B4D5C13" w14:textId="487A7ED9" w:rsidR="00162C53" w:rsidRPr="00D576DE" w:rsidRDefault="00034D28" w:rsidP="00162C53">
                  <w:pPr>
                    <w:rPr>
                      <w:rFonts w:asciiTheme="minorHAnsi" w:hAnsiTheme="minorHAnsi" w:cstheme="minorHAnsi"/>
                      <w:sz w:val="20"/>
                    </w:rPr>
                  </w:pPr>
                  <w:r>
                    <w:rPr>
                      <w:rFonts w:asciiTheme="minorHAnsi" w:hAnsiTheme="minorHAnsi" w:cstheme="minorHAnsi"/>
                      <w:sz w:val="20"/>
                    </w:rPr>
                    <w:t>57</w:t>
                  </w:r>
                </w:p>
              </w:tc>
            </w:tr>
            <w:tr w:rsidR="00162C53" w14:paraId="3EE32C65" w14:textId="77777777" w:rsidTr="00D91F07">
              <w:tc>
                <w:tcPr>
                  <w:tcW w:w="1161" w:type="dxa"/>
                </w:tcPr>
                <w:p w14:paraId="2373020C" w14:textId="7540FB11" w:rsidR="00162C53" w:rsidRDefault="00162C53" w:rsidP="00162C53">
                  <w:r>
                    <w:rPr>
                      <w:rFonts w:asciiTheme="minorHAnsi" w:hAnsiTheme="minorHAnsi" w:cs="Arial"/>
                      <w:sz w:val="20"/>
                      <w:szCs w:val="20"/>
                    </w:rPr>
                    <w:t>6</w:t>
                  </w:r>
                </w:p>
              </w:tc>
              <w:tc>
                <w:tcPr>
                  <w:tcW w:w="1418" w:type="dxa"/>
                </w:tcPr>
                <w:p w14:paraId="0E2250D7" w14:textId="4A361068" w:rsidR="00162C53" w:rsidRPr="00D576DE" w:rsidRDefault="00162C53" w:rsidP="00162C53">
                  <w:pPr>
                    <w:rPr>
                      <w:rFonts w:asciiTheme="minorHAnsi" w:hAnsiTheme="minorHAnsi" w:cstheme="minorHAnsi"/>
                      <w:sz w:val="20"/>
                    </w:rPr>
                  </w:pPr>
                  <w:r>
                    <w:rPr>
                      <w:rFonts w:asciiTheme="minorHAnsi" w:hAnsiTheme="minorHAnsi" w:cstheme="minorHAnsi"/>
                      <w:sz w:val="20"/>
                    </w:rPr>
                    <w:t>3</w:t>
                  </w:r>
                </w:p>
              </w:tc>
              <w:tc>
                <w:tcPr>
                  <w:tcW w:w="1559" w:type="dxa"/>
                </w:tcPr>
                <w:p w14:paraId="35657FB4" w14:textId="4708FD62" w:rsidR="00162C53" w:rsidRPr="00D576DE" w:rsidRDefault="00034D28" w:rsidP="00162C53">
                  <w:pPr>
                    <w:rPr>
                      <w:rFonts w:asciiTheme="minorHAnsi" w:hAnsiTheme="minorHAnsi" w:cstheme="minorHAnsi"/>
                      <w:sz w:val="20"/>
                    </w:rPr>
                  </w:pPr>
                  <w:r>
                    <w:rPr>
                      <w:rFonts w:asciiTheme="minorHAnsi" w:hAnsiTheme="minorHAnsi" w:cstheme="minorHAnsi"/>
                      <w:sz w:val="20"/>
                    </w:rPr>
                    <w:t>67</w:t>
                  </w:r>
                </w:p>
              </w:tc>
              <w:tc>
                <w:tcPr>
                  <w:tcW w:w="1701" w:type="dxa"/>
                </w:tcPr>
                <w:p w14:paraId="3F85F213" w14:textId="4361DC74" w:rsidR="00162C53" w:rsidRPr="00D576DE" w:rsidRDefault="00034D28" w:rsidP="00162C53">
                  <w:pPr>
                    <w:rPr>
                      <w:rFonts w:asciiTheme="minorHAnsi" w:hAnsiTheme="minorHAnsi" w:cstheme="minorHAnsi"/>
                      <w:sz w:val="20"/>
                    </w:rPr>
                  </w:pPr>
                  <w:r>
                    <w:rPr>
                      <w:rFonts w:asciiTheme="minorHAnsi" w:hAnsiTheme="minorHAnsi" w:cstheme="minorHAnsi"/>
                      <w:sz w:val="20"/>
                    </w:rPr>
                    <w:t>100</w:t>
                  </w:r>
                </w:p>
              </w:tc>
              <w:tc>
                <w:tcPr>
                  <w:tcW w:w="1843" w:type="dxa"/>
                </w:tcPr>
                <w:p w14:paraId="155BA9BD" w14:textId="4CF10EE8" w:rsidR="00162C53" w:rsidRPr="00D576DE" w:rsidRDefault="00034D28" w:rsidP="00162C53">
                  <w:pPr>
                    <w:rPr>
                      <w:rFonts w:asciiTheme="minorHAnsi" w:hAnsiTheme="minorHAnsi" w:cstheme="minorHAnsi"/>
                      <w:sz w:val="20"/>
                    </w:rPr>
                  </w:pPr>
                  <w:r>
                    <w:rPr>
                      <w:rFonts w:asciiTheme="minorHAnsi" w:hAnsiTheme="minorHAnsi" w:cstheme="minorHAnsi"/>
                      <w:sz w:val="20"/>
                    </w:rPr>
                    <w:t>67</w:t>
                  </w:r>
                </w:p>
              </w:tc>
            </w:tr>
            <w:tr w:rsidR="00162C53" w14:paraId="2E0DB161" w14:textId="77777777" w:rsidTr="00D91F07">
              <w:tc>
                <w:tcPr>
                  <w:tcW w:w="1161" w:type="dxa"/>
                </w:tcPr>
                <w:p w14:paraId="4681F055" w14:textId="0B537BC8" w:rsidR="00162C53" w:rsidRDefault="00162C53" w:rsidP="00162C53">
                  <w:r>
                    <w:rPr>
                      <w:rFonts w:asciiTheme="minorHAnsi" w:hAnsiTheme="minorHAnsi" w:cs="Arial"/>
                      <w:sz w:val="20"/>
                      <w:szCs w:val="20"/>
                    </w:rPr>
                    <w:t>Total</w:t>
                  </w:r>
                </w:p>
              </w:tc>
              <w:tc>
                <w:tcPr>
                  <w:tcW w:w="1418" w:type="dxa"/>
                </w:tcPr>
                <w:p w14:paraId="01EDBB09" w14:textId="1EE9EAC7" w:rsidR="00162C53" w:rsidRPr="00D576DE" w:rsidRDefault="002C3CD3" w:rsidP="00162C53">
                  <w:pPr>
                    <w:rPr>
                      <w:rFonts w:asciiTheme="minorHAnsi" w:hAnsiTheme="minorHAnsi" w:cstheme="minorHAnsi"/>
                      <w:sz w:val="20"/>
                    </w:rPr>
                  </w:pPr>
                  <w:r>
                    <w:rPr>
                      <w:rFonts w:asciiTheme="minorHAnsi" w:hAnsiTheme="minorHAnsi" w:cstheme="minorHAnsi"/>
                      <w:sz w:val="20"/>
                    </w:rPr>
                    <w:t>27</w:t>
                  </w:r>
                </w:p>
              </w:tc>
              <w:tc>
                <w:tcPr>
                  <w:tcW w:w="1559" w:type="dxa"/>
                </w:tcPr>
                <w:p w14:paraId="6CCA6051" w14:textId="783AFD62" w:rsidR="00162C53" w:rsidRPr="00D576DE" w:rsidRDefault="00034D28" w:rsidP="00162C53">
                  <w:pPr>
                    <w:rPr>
                      <w:rFonts w:asciiTheme="minorHAnsi" w:hAnsiTheme="minorHAnsi" w:cstheme="minorHAnsi"/>
                      <w:sz w:val="20"/>
                    </w:rPr>
                  </w:pPr>
                  <w:r>
                    <w:rPr>
                      <w:rFonts w:asciiTheme="minorHAnsi" w:hAnsiTheme="minorHAnsi" w:cstheme="minorHAnsi"/>
                      <w:sz w:val="20"/>
                    </w:rPr>
                    <w:t>67</w:t>
                  </w:r>
                </w:p>
              </w:tc>
              <w:tc>
                <w:tcPr>
                  <w:tcW w:w="1701" w:type="dxa"/>
                </w:tcPr>
                <w:p w14:paraId="3CE341C3" w14:textId="4410CF5B" w:rsidR="00162C53" w:rsidRPr="00D576DE" w:rsidRDefault="00034D28" w:rsidP="00162C53">
                  <w:pPr>
                    <w:rPr>
                      <w:rFonts w:asciiTheme="minorHAnsi" w:hAnsiTheme="minorHAnsi" w:cstheme="minorHAnsi"/>
                      <w:sz w:val="20"/>
                    </w:rPr>
                  </w:pPr>
                  <w:r>
                    <w:rPr>
                      <w:rFonts w:asciiTheme="minorHAnsi" w:hAnsiTheme="minorHAnsi" w:cstheme="minorHAnsi"/>
                      <w:sz w:val="20"/>
                    </w:rPr>
                    <w:t>67</w:t>
                  </w:r>
                </w:p>
              </w:tc>
              <w:tc>
                <w:tcPr>
                  <w:tcW w:w="1843" w:type="dxa"/>
                </w:tcPr>
                <w:p w14:paraId="545B3731" w14:textId="0997E064" w:rsidR="00162C53" w:rsidRPr="00D576DE" w:rsidRDefault="00034D28" w:rsidP="00162C53">
                  <w:pPr>
                    <w:rPr>
                      <w:rFonts w:asciiTheme="minorHAnsi" w:hAnsiTheme="minorHAnsi" w:cstheme="minorHAnsi"/>
                      <w:sz w:val="20"/>
                    </w:rPr>
                  </w:pPr>
                  <w:r>
                    <w:rPr>
                      <w:rFonts w:asciiTheme="minorHAnsi" w:hAnsiTheme="minorHAnsi" w:cstheme="minorHAnsi"/>
                      <w:sz w:val="20"/>
                    </w:rPr>
                    <w:t>63</w:t>
                  </w:r>
                </w:p>
              </w:tc>
            </w:tr>
          </w:tbl>
          <w:p w14:paraId="177E337B" w14:textId="2090F23F" w:rsidR="00E66558" w:rsidRDefault="00E66558"/>
          <w:p w14:paraId="73AA0D63" w14:textId="00294FBD" w:rsidR="00551271" w:rsidRDefault="00551271">
            <w:r>
              <w:t xml:space="preserve">1:1 and small group provision </w:t>
            </w:r>
            <w:r w:rsidR="00432345">
              <w:t>supported our</w:t>
            </w:r>
            <w:r>
              <w:t xml:space="preserve"> PP</w:t>
            </w:r>
            <w:r w:rsidR="00432345">
              <w:t xml:space="preserve"> children</w:t>
            </w:r>
            <w:r>
              <w:t xml:space="preserve"> to make good progress in terms of their confidence and resilie</w:t>
            </w:r>
            <w:r w:rsidR="00432345">
              <w:t>nce. They had struggled on the return to school following the pandemic with lost learning and anxiety. The combination of academic support plus increased pastoral support allowed them to be more settled in school and ultimately ensured that they were ready for the next stage of their education.</w:t>
            </w:r>
          </w:p>
          <w:p w14:paraId="0737EC9B" w14:textId="3B53AC0F" w:rsidR="00432345" w:rsidRDefault="00432345">
            <w:r>
              <w:t xml:space="preserve">PP children are given priority places in all extra-curricular clubs. Trips and visits restarted and all PP children’s costs, including for the Year 6 residential were met out of the PP budget ensuring that they were able to experience a wide range of provision.  </w:t>
            </w:r>
          </w:p>
          <w:p w14:paraId="2A7D5546" w14:textId="4B5D6897" w:rsidR="00D91F07" w:rsidRDefault="00432345" w:rsidP="00432345">
            <w:r>
              <w:t>There is ongoing work to be done in terms of supporting pupil wellbeing as well as their learning, with maths and writ</w:t>
            </w:r>
            <w:r w:rsidR="00034D28">
              <w:t>ing being the focus for 2023-24.</w:t>
            </w:r>
          </w:p>
        </w:tc>
      </w:tr>
    </w:tbl>
    <w:p w14:paraId="10935B42" w14:textId="77777777" w:rsidR="00F702FF" w:rsidRDefault="00F702FF">
      <w:pPr>
        <w:pStyle w:val="Heading2"/>
        <w:spacing w:before="600"/>
      </w:pPr>
    </w:p>
    <w:p w14:paraId="2A7D5548" w14:textId="39085AE2"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D832AC8" w:rsidR="00E66558" w:rsidRDefault="0099018C">
            <w:pPr>
              <w:pStyle w:val="TableRow"/>
            </w:pPr>
            <w:r>
              <w:t>LBQ Maths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F304590" w:rsidR="00E66558" w:rsidRDefault="0099018C">
            <w:pPr>
              <w:pStyle w:val="TableRowCentered"/>
              <w:jc w:val="left"/>
            </w:pPr>
            <w:r>
              <w:t>Learning by Questions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3FFA0E1B" w:rsidR="00E66558" w:rsidRDefault="0016652D">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4E01" w14:textId="6DA9FC0C" w:rsidR="00F702FF"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D375125" w14:textId="1AA4C227" w:rsidR="00F702FF" w:rsidRPr="00F702FF" w:rsidRDefault="00F702FF">
            <w:pPr>
              <w:spacing w:before="120" w:after="120"/>
              <w:rPr>
                <w:rFonts w:cs="Arial"/>
                <w:iCs/>
              </w:rPr>
            </w:pPr>
            <w:r w:rsidRPr="00F702FF">
              <w:rPr>
                <w:rFonts w:cs="Arial"/>
                <w:iCs/>
              </w:rPr>
              <w:t>Disadvantaged pupils are supp</w:t>
            </w:r>
            <w:r w:rsidR="0096697A">
              <w:rPr>
                <w:rFonts w:cs="Arial"/>
                <w:iCs/>
              </w:rPr>
              <w:t>orted by high quality provision-</w:t>
            </w:r>
            <w:r w:rsidRPr="00F702FF">
              <w:rPr>
                <w:rFonts w:cs="Arial"/>
                <w:iCs/>
              </w:rPr>
              <w:t xml:space="preserve">mapping including ongoing assessment of need and individual programmes of study where appropriate. </w:t>
            </w:r>
          </w:p>
          <w:p w14:paraId="3D86E06B" w14:textId="56C74612" w:rsidR="00F702FF" w:rsidRPr="00F702FF" w:rsidRDefault="00F702FF">
            <w:pPr>
              <w:spacing w:before="120" w:after="120"/>
              <w:rPr>
                <w:rFonts w:cs="Arial"/>
                <w:iCs/>
              </w:rPr>
            </w:pPr>
            <w:r w:rsidRPr="00F702FF">
              <w:rPr>
                <w:rFonts w:cs="Arial"/>
                <w:iCs/>
              </w:rPr>
              <w:t>Venn diagrams map PP, SEND and EAL children and match them to everyday strategies used to support them as part of quality first teaching.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02A5B6E" w:rsidR="005E28A4" w:rsidRDefault="009D71E8">
    <w:pPr>
      <w:pStyle w:val="Footer"/>
      <w:ind w:firstLine="4513"/>
    </w:pPr>
    <w:r>
      <w:fldChar w:fldCharType="begin"/>
    </w:r>
    <w:r>
      <w:instrText xml:space="preserve"> PAGE </w:instrText>
    </w:r>
    <w:r>
      <w:fldChar w:fldCharType="separate"/>
    </w:r>
    <w:r w:rsidR="000E67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0E6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9EB6E97"/>
    <w:multiLevelType w:val="multilevel"/>
    <w:tmpl w:val="E20E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47517"/>
    <w:multiLevelType w:val="hybridMultilevel"/>
    <w:tmpl w:val="0804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4D28"/>
    <w:rsid w:val="00066B73"/>
    <w:rsid w:val="000E671F"/>
    <w:rsid w:val="00120AB1"/>
    <w:rsid w:val="001316CC"/>
    <w:rsid w:val="00162C53"/>
    <w:rsid w:val="0016652D"/>
    <w:rsid w:val="001C1F10"/>
    <w:rsid w:val="002C3CD3"/>
    <w:rsid w:val="002D4DF6"/>
    <w:rsid w:val="00314E3B"/>
    <w:rsid w:val="0034715D"/>
    <w:rsid w:val="00386915"/>
    <w:rsid w:val="003A5136"/>
    <w:rsid w:val="003C08B6"/>
    <w:rsid w:val="004044AA"/>
    <w:rsid w:val="00407F69"/>
    <w:rsid w:val="00432345"/>
    <w:rsid w:val="004323DC"/>
    <w:rsid w:val="00551271"/>
    <w:rsid w:val="00587B52"/>
    <w:rsid w:val="006D011D"/>
    <w:rsid w:val="006E7FB1"/>
    <w:rsid w:val="00711F78"/>
    <w:rsid w:val="00741B9E"/>
    <w:rsid w:val="00742597"/>
    <w:rsid w:val="00744E42"/>
    <w:rsid w:val="007C2F04"/>
    <w:rsid w:val="00856575"/>
    <w:rsid w:val="008D0981"/>
    <w:rsid w:val="008F68F0"/>
    <w:rsid w:val="009123C0"/>
    <w:rsid w:val="009248AF"/>
    <w:rsid w:val="0096697A"/>
    <w:rsid w:val="0099018C"/>
    <w:rsid w:val="009D71E8"/>
    <w:rsid w:val="00A47EF5"/>
    <w:rsid w:val="00A64B62"/>
    <w:rsid w:val="00AE4636"/>
    <w:rsid w:val="00B44A4D"/>
    <w:rsid w:val="00B72635"/>
    <w:rsid w:val="00B95AA1"/>
    <w:rsid w:val="00BB5814"/>
    <w:rsid w:val="00BD3892"/>
    <w:rsid w:val="00C42D60"/>
    <w:rsid w:val="00CD26B5"/>
    <w:rsid w:val="00CF76C8"/>
    <w:rsid w:val="00D33FE5"/>
    <w:rsid w:val="00D41C96"/>
    <w:rsid w:val="00D576DE"/>
    <w:rsid w:val="00D67E8C"/>
    <w:rsid w:val="00D91F07"/>
    <w:rsid w:val="00E31F5B"/>
    <w:rsid w:val="00E66558"/>
    <w:rsid w:val="00E80B20"/>
    <w:rsid w:val="00E86877"/>
    <w:rsid w:val="00ED2922"/>
    <w:rsid w:val="00EE7CB8"/>
    <w:rsid w:val="00F702FF"/>
    <w:rsid w:val="00F73237"/>
    <w:rsid w:val="00FB1B9A"/>
    <w:rsid w:val="00FE7E7A"/>
    <w:rsid w:val="00FF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9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30194">
      <w:bodyDiv w:val="1"/>
      <w:marLeft w:val="0"/>
      <w:marRight w:val="0"/>
      <w:marTop w:val="0"/>
      <w:marBottom w:val="0"/>
      <w:divBdr>
        <w:top w:val="none" w:sz="0" w:space="0" w:color="auto"/>
        <w:left w:val="none" w:sz="0" w:space="0" w:color="auto"/>
        <w:bottom w:val="none" w:sz="0" w:space="0" w:color="auto"/>
        <w:right w:val="none" w:sz="0" w:space="0" w:color="auto"/>
      </w:divBdr>
    </w:div>
    <w:div w:id="2008432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F876A70FC6F49976A357179F3C37C" ma:contentTypeVersion="13" ma:contentTypeDescription="Create a new document." ma:contentTypeScope="" ma:versionID="89b65516b5f718eea1dfabba05309a80">
  <xsd:schema xmlns:xsd="http://www.w3.org/2001/XMLSchema" xmlns:xs="http://www.w3.org/2001/XMLSchema" xmlns:p="http://schemas.microsoft.com/office/2006/metadata/properties" xmlns:ns3="ff0b212e-bd84-4b80-b7a5-831a12238784" xmlns:ns4="6fdf5535-7c4a-4148-bf65-c7238c87a5e8" targetNamespace="http://schemas.microsoft.com/office/2006/metadata/properties" ma:root="true" ma:fieldsID="3f98ff2190a32c9e1aff7e58039eeb94" ns3:_="" ns4:_="">
    <xsd:import namespace="ff0b212e-bd84-4b80-b7a5-831a12238784"/>
    <xsd:import namespace="6fdf5535-7c4a-4148-bf65-c7238c87a5e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b212e-bd84-4b80-b7a5-831a122387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f5535-7c4a-4148-bf65-c7238c87a5e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45C3-DD10-4959-BDD3-DAA7DAFAA33C}">
  <ds:schemaRefs>
    <ds:schemaRef ds:uri="http://schemas.microsoft.com/office/2006/documentManagement/types"/>
    <ds:schemaRef ds:uri="http://schemas.openxmlformats.org/package/2006/metadata/core-properties"/>
    <ds:schemaRef ds:uri="http://purl.org/dc/dcmitype/"/>
    <ds:schemaRef ds:uri="6fdf5535-7c4a-4148-bf65-c7238c87a5e8"/>
    <ds:schemaRef ds:uri="http://purl.org/dc/elements/1.1/"/>
    <ds:schemaRef ds:uri="http://schemas.microsoft.com/office/2006/metadata/properties"/>
    <ds:schemaRef ds:uri="http://schemas.microsoft.com/office/infopath/2007/PartnerControls"/>
    <ds:schemaRef ds:uri="ff0b212e-bd84-4b80-b7a5-831a12238784"/>
    <ds:schemaRef ds:uri="http://www.w3.org/XML/1998/namespace"/>
    <ds:schemaRef ds:uri="http://purl.org/dc/terms/"/>
  </ds:schemaRefs>
</ds:datastoreItem>
</file>

<file path=customXml/itemProps2.xml><?xml version="1.0" encoding="utf-8"?>
<ds:datastoreItem xmlns:ds="http://schemas.openxmlformats.org/officeDocument/2006/customXml" ds:itemID="{D3CD9D02-A036-4D93-AFCF-22AEA372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b212e-bd84-4b80-b7a5-831a12238784"/>
    <ds:schemaRef ds:uri="6fdf5535-7c4a-4148-bf65-c7238c87a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1007E-46A3-4E56-9027-A237994E1E08}">
  <ds:schemaRefs>
    <ds:schemaRef ds:uri="http://schemas.microsoft.com/sharepoint/v3/contenttype/forms"/>
  </ds:schemaRefs>
</ds:datastoreItem>
</file>

<file path=customXml/itemProps4.xml><?xml version="1.0" encoding="utf-8"?>
<ds:datastoreItem xmlns:ds="http://schemas.openxmlformats.org/officeDocument/2006/customXml" ds:itemID="{8D0A2D47-5553-40B2-98C9-EA295329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Alison Daniel</cp:lastModifiedBy>
  <cp:revision>10</cp:revision>
  <cp:lastPrinted>2014-09-17T13:26:00Z</cp:lastPrinted>
  <dcterms:created xsi:type="dcterms:W3CDTF">2022-11-17T14:58:00Z</dcterms:created>
  <dcterms:modified xsi:type="dcterms:W3CDTF">2023-12-19T14:30:00Z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0x0101000A7F876A70FC6F49976A357179F3C37C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